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6-e</w:t>
      </w:r>
      <w:r>
        <w:rPr>
          <w:rFonts w:ascii="Arial" w:hAnsi="Arial" w:cs="Arial"/>
          <w:b/>
          <w:sz w:val="22"/>
          <w:szCs w:val="22"/>
        </w:rPr>
        <w:tab/>
      </w:r>
      <w:r>
        <w:rPr>
          <w:rFonts w:hint="eastAsia" w:ascii="Arial" w:hAnsi="Arial" w:cs="Arial"/>
          <w:b/>
          <w:sz w:val="22"/>
          <w:szCs w:val="22"/>
        </w:rPr>
        <w:t>R1-2106735</w:t>
      </w:r>
    </w:p>
    <w:p>
      <w:pPr>
        <w:tabs>
          <w:tab w:val="right" w:pos="9630"/>
        </w:tabs>
        <w:spacing w:after="0"/>
        <w:rPr>
          <w:rFonts w:ascii="Arial" w:hAnsi="Arial" w:cs="Arial"/>
          <w:b/>
          <w:sz w:val="22"/>
          <w:szCs w:val="22"/>
        </w:rPr>
      </w:pPr>
      <w:r>
        <w:rPr>
          <w:rFonts w:hint="eastAsia" w:ascii="Arial" w:hAnsi="Arial" w:cs="Arial"/>
          <w:b/>
          <w:sz w:val="22"/>
          <w:szCs w:val="22"/>
        </w:rPr>
        <w:t>e-Meeting, August 16</w:t>
      </w:r>
      <w:r>
        <w:rPr>
          <w:rFonts w:hint="eastAsia" w:ascii="Arial" w:hAnsi="Arial" w:cs="Arial"/>
          <w:b/>
          <w:sz w:val="22"/>
          <w:szCs w:val="22"/>
          <w:vertAlign w:val="superscript"/>
        </w:rPr>
        <w:t>th</w:t>
      </w:r>
      <w:r>
        <w:rPr>
          <w:rFonts w:hint="eastAsia" w:ascii="Arial" w:hAnsi="Arial" w:cs="Arial"/>
          <w:b/>
          <w:sz w:val="22"/>
          <w:szCs w:val="22"/>
        </w:rPr>
        <w:t xml:space="preserve"> – 27</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CSI feedback enhancements for eURLLC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8.3.1.2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default"/>
          <w:lang w:val="en-US" w:eastAsia="zh-CN"/>
        </w:rPr>
      </w:pPr>
      <w:r>
        <w:rPr>
          <w:rFonts w:hint="eastAsia"/>
          <w:lang w:eastAsia="zh-CN"/>
        </w:rPr>
        <w:t>In the RAN1#10</w:t>
      </w:r>
      <w:r>
        <w:rPr>
          <w:rFonts w:hint="eastAsia"/>
          <w:lang w:val="en-US" w:eastAsia="zh-CN"/>
        </w:rPr>
        <w:t>5</w:t>
      </w:r>
      <w:r>
        <w:rPr>
          <w:rFonts w:hint="eastAsia"/>
          <w:lang w:eastAsia="zh-CN"/>
        </w:rPr>
        <w:t xml:space="preserve">-e meeting, several schemes for the CSI feedback enhancements and the following </w:t>
      </w:r>
      <w:r>
        <w:rPr>
          <w:rFonts w:hint="eastAsia"/>
          <w:lang w:val="en-US" w:eastAsia="zh-CN"/>
        </w:rPr>
        <w:t>proposal</w:t>
      </w:r>
      <w:r>
        <w:rPr>
          <w:rFonts w:hint="eastAsia"/>
          <w:lang w:eastAsia="zh-CN"/>
        </w:rPr>
        <w:t xml:space="preserve"> were discussed [1].</w:t>
      </w:r>
      <w:r>
        <w:rPr>
          <w:rFonts w:hint="eastAsia"/>
          <w:lang w:val="en-US" w:eastAsia="zh-CN"/>
        </w:rPr>
        <w:t xml:space="preserve"> In RAN#92-e, the proposal was endorsed with details further discussed in RAN1.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szCs w:val="22"/>
                <w:lang w:val="en-US"/>
              </w:rPr>
            </w:pPr>
            <w:bookmarkStart w:id="3" w:name="_Hlk72993375"/>
            <w:r>
              <w:rPr>
                <w:rFonts w:ascii="Times New Roman" w:hAnsi="Times New Roman"/>
              </w:rPr>
              <w:t>Proposal:</w:t>
            </w:r>
          </w:p>
          <w:p>
            <w:pPr>
              <w:spacing w:before="120" w:line="280" w:lineRule="atLeast"/>
              <w:rPr>
                <w:rFonts w:ascii="Times New Roman" w:hAnsi="Times New Roman"/>
              </w:rPr>
            </w:pPr>
            <w:r>
              <w:rPr>
                <w:rFonts w:ascii="Times New Roman" w:hAnsi="Times New Roman"/>
              </w:rPr>
              <w:t>RAN1 to further investigate the following for CSI enhancements for IIoT/URLLC:</w:t>
            </w:r>
          </w:p>
          <w:p>
            <w:pPr>
              <w:pStyle w:val="114"/>
              <w:numPr>
                <w:ilvl w:val="0"/>
                <w:numId w:val="10"/>
              </w:numPr>
              <w:spacing w:before="120" w:after="160" w:line="252" w:lineRule="auto"/>
              <w:ind w:leftChars="0"/>
              <w:rPr>
                <w:rFonts w:ascii="Times New Roman" w:hAnsi="Times New Roman"/>
              </w:rPr>
            </w:pPr>
            <w:r>
              <w:rPr>
                <w:rFonts w:ascii="Times New Roman" w:hAnsi="Times New Roman"/>
              </w:rPr>
              <w:t>Increasing granularity of subband CQI (3-bits differential subband CQI or 4-bits CQI)</w:t>
            </w:r>
          </w:p>
          <w:p>
            <w:pPr>
              <w:pStyle w:val="114"/>
              <w:numPr>
                <w:ilvl w:val="0"/>
                <w:numId w:val="10"/>
              </w:numPr>
              <w:spacing w:before="120" w:after="160" w:line="252" w:lineRule="auto"/>
              <w:ind w:leftChars="0"/>
              <w:rPr>
                <w:rFonts w:ascii="Times New Roman" w:hAnsi="Times New Roman"/>
              </w:rPr>
            </w:pPr>
            <w:r>
              <w:rPr>
                <w:rFonts w:ascii="Times New Roman" w:hAnsi="Times New Roman"/>
              </w:rPr>
              <w:t>Reporting of delta-MCS:</w:t>
            </w:r>
          </w:p>
          <w:p>
            <w:pPr>
              <w:pStyle w:val="114"/>
              <w:numPr>
                <w:ilvl w:val="1"/>
                <w:numId w:val="10"/>
              </w:numPr>
              <w:spacing w:before="120" w:after="160" w:line="252" w:lineRule="auto"/>
              <w:ind w:leftChars="0"/>
              <w:rPr>
                <w:rFonts w:ascii="Times New Roman" w:hAnsi="Times New Roman"/>
              </w:rPr>
            </w:pPr>
            <w:r>
              <w:rPr>
                <w:rFonts w:ascii="Times New Roman" w:hAnsi="Times New Roman"/>
              </w:rPr>
              <w:t>Report consists of delta-MCS for a TB received with MCS index I</w:t>
            </w:r>
            <w:r>
              <w:rPr>
                <w:rFonts w:ascii="Times New Roman" w:hAnsi="Times New Roman"/>
                <w:vertAlign w:val="subscript"/>
              </w:rPr>
              <w:t>MCS</w:t>
            </w:r>
            <w:r>
              <w:rPr>
                <w:rFonts w:ascii="Times New Roman" w:hAnsi="Times New Roman"/>
              </w:rPr>
              <w:t>:</w:t>
            </w:r>
          </w:p>
          <w:p>
            <w:pPr>
              <w:pStyle w:val="114"/>
              <w:numPr>
                <w:ilvl w:val="2"/>
                <w:numId w:val="10"/>
              </w:numPr>
              <w:spacing w:before="120" w:after="160" w:line="252" w:lineRule="auto"/>
              <w:ind w:leftChars="0"/>
              <w:rPr>
                <w:rFonts w:ascii="Times New Roman" w:hAnsi="Times New Roman"/>
              </w:rPr>
            </w:pPr>
            <w:r>
              <w:rPr>
                <w:rFonts w:ascii="Times New Roman" w:hAnsi="Times New Roman"/>
              </w:rPr>
              <w:t>delta-MCS is calculated from the difference between I</w:t>
            </w:r>
            <w:r>
              <w:rPr>
                <w:rFonts w:ascii="Times New Roman" w:hAnsi="Times New Roman"/>
                <w:vertAlign w:val="subscript"/>
              </w:rPr>
              <w:t>MCS_tgt</w:t>
            </w:r>
            <w:r>
              <w:rPr>
                <w:rFonts w:ascii="Times New Roman" w:hAnsi="Times New Roman"/>
              </w:rPr>
              <w:t xml:space="preserve"> and I</w:t>
            </w:r>
            <w:r>
              <w:rPr>
                <w:rFonts w:ascii="Times New Roman" w:hAnsi="Times New Roman"/>
                <w:vertAlign w:val="subscript"/>
              </w:rPr>
              <w:t>MCS</w:t>
            </w:r>
            <w:r>
              <w:rPr>
                <w:rFonts w:ascii="Times New Roman" w:hAnsi="Times New Roman"/>
              </w:rPr>
              <w:t>, where I</w:t>
            </w:r>
            <w:r>
              <w:rPr>
                <w:rFonts w:ascii="Times New Roman" w:hAnsi="Times New Roman"/>
                <w:vertAlign w:val="subscript"/>
              </w:rPr>
              <w:t>MCS_tgt</w:t>
            </w:r>
            <w:r>
              <w:rPr>
                <w:rFonts w:ascii="Times New Roman" w:hAnsi="Times New Roman"/>
              </w:rPr>
              <w:t xml:space="preserve"> is largest MCS index such that estimated BLER of </w:t>
            </w:r>
            <w:r>
              <w:rPr>
                <w:rFonts w:ascii="Times New Roman" w:hAnsi="Times New Roman"/>
                <w:strike/>
              </w:rPr>
              <w:t>the</w:t>
            </w:r>
            <w:r>
              <w:rPr>
                <w:rFonts w:ascii="Times New Roman" w:hAnsi="Times New Roman"/>
              </w:rPr>
              <w:t xml:space="preserve"> for a TB received with this MCS index would be smaller than or equal to a BLER target, and I</w:t>
            </w:r>
            <w:r>
              <w:rPr>
                <w:rFonts w:ascii="Times New Roman" w:hAnsi="Times New Roman"/>
                <w:vertAlign w:val="subscript"/>
              </w:rPr>
              <w:t>MCS</w:t>
            </w:r>
            <w:r>
              <w:rPr>
                <w:rFonts w:ascii="Times New Roman" w:hAnsi="Times New Roman"/>
              </w:rPr>
              <w:t xml:space="preserve"> is the MCS index of the received TB.</w:t>
            </w:r>
          </w:p>
          <w:p>
            <w:pPr>
              <w:pStyle w:val="114"/>
              <w:numPr>
                <w:ilvl w:val="2"/>
                <w:numId w:val="10"/>
              </w:numPr>
              <w:spacing w:before="120" w:after="160" w:line="252" w:lineRule="auto"/>
              <w:ind w:leftChars="0"/>
              <w:rPr>
                <w:rFonts w:ascii="Times New Roman" w:hAnsi="Times New Roman"/>
              </w:rPr>
            </w:pPr>
            <w:r>
              <w:rPr>
                <w:rFonts w:ascii="Times New Roman" w:hAnsi="Times New Roman"/>
              </w:rPr>
              <w:t>Estimated BLER for a TB is the largest error probability estimate of a code block within a TB.</w:t>
            </w:r>
          </w:p>
          <w:p>
            <w:pPr>
              <w:pStyle w:val="114"/>
              <w:numPr>
                <w:ilvl w:val="2"/>
                <w:numId w:val="10"/>
              </w:numPr>
              <w:spacing w:before="120" w:after="160" w:line="252" w:lineRule="auto"/>
              <w:ind w:leftChars="0"/>
              <w:rPr>
                <w:rFonts w:ascii="Times New Roman" w:hAnsi="Times New Roman"/>
              </w:rPr>
            </w:pPr>
            <w:r>
              <w:rPr>
                <w:rFonts w:ascii="Times New Roman" w:hAnsi="Times New Roman"/>
              </w:rPr>
              <w:t>FFS: whether to apply additional offset to delta-MCS (i.e. delta-MCS = I</w:t>
            </w:r>
            <w:r>
              <w:rPr>
                <w:rFonts w:ascii="Times New Roman" w:hAnsi="Times New Roman"/>
                <w:vertAlign w:val="subscript"/>
              </w:rPr>
              <w:t>MCS_tgt</w:t>
            </w:r>
            <w:r>
              <w:rPr>
                <w:rFonts w:ascii="Times New Roman" w:hAnsi="Times New Roman"/>
              </w:rPr>
              <w:t xml:space="preserve"> – I</w:t>
            </w:r>
            <w:r>
              <w:rPr>
                <w:rFonts w:ascii="Times New Roman" w:hAnsi="Times New Roman"/>
                <w:vertAlign w:val="subscript"/>
              </w:rPr>
              <w:t>MCS</w:t>
            </w:r>
            <w:r>
              <w:rPr>
                <w:rFonts w:ascii="Times New Roman" w:hAnsi="Times New Roman"/>
              </w:rPr>
              <w:t xml:space="preserve"> - offset)</w:t>
            </w:r>
          </w:p>
          <w:p>
            <w:pPr>
              <w:pStyle w:val="114"/>
              <w:numPr>
                <w:ilvl w:val="2"/>
                <w:numId w:val="10"/>
              </w:numPr>
              <w:spacing w:before="120" w:after="160" w:line="252" w:lineRule="auto"/>
              <w:ind w:leftChars="0"/>
              <w:rPr>
                <w:rFonts w:ascii="Times New Roman" w:hAnsi="Times New Roman"/>
              </w:rPr>
            </w:pPr>
            <w:r>
              <w:rPr>
                <w:rFonts w:ascii="Times New Roman" w:hAnsi="Times New Roman"/>
              </w:rPr>
              <w:t>FFS: whether TB size for determining I</w:t>
            </w:r>
            <w:r>
              <w:rPr>
                <w:rFonts w:ascii="Times New Roman" w:hAnsi="Times New Roman"/>
                <w:vertAlign w:val="subscript"/>
              </w:rPr>
              <w:t>MCS_tgt</w:t>
            </w:r>
            <w:r>
              <w:rPr>
                <w:rFonts w:ascii="Times New Roman" w:hAnsi="Times New Roman"/>
              </w:rPr>
              <w:t xml:space="preserve"> is TB size of received TB or other TB size</w:t>
            </w:r>
          </w:p>
          <w:p>
            <w:pPr>
              <w:pStyle w:val="114"/>
              <w:numPr>
                <w:ilvl w:val="2"/>
                <w:numId w:val="10"/>
              </w:numPr>
              <w:spacing w:before="120" w:after="160" w:line="252" w:lineRule="auto"/>
              <w:ind w:leftChars="0"/>
              <w:rPr>
                <w:rFonts w:ascii="Times New Roman" w:hAnsi="Times New Roman"/>
              </w:rPr>
            </w:pPr>
            <w:r>
              <w:rPr>
                <w:rFonts w:ascii="Times New Roman" w:hAnsi="Times New Roman"/>
              </w:rPr>
              <w:t xml:space="preserve">FFS: How UE determines BLER target </w:t>
            </w:r>
            <w:r>
              <w:rPr>
                <w:rFonts w:ascii="Times New Roman" w:hAnsi="Times New Roman"/>
                <w:strike/>
              </w:rPr>
              <w:t>(e.g. explicitly indicated by network or linked to a CQI table)</w:t>
            </w:r>
          </w:p>
          <w:p>
            <w:pPr>
              <w:pStyle w:val="114"/>
              <w:numPr>
                <w:ilvl w:val="1"/>
                <w:numId w:val="10"/>
              </w:numPr>
              <w:spacing w:before="120" w:after="160" w:line="252" w:lineRule="auto"/>
              <w:ind w:leftChars="0"/>
              <w:rPr>
                <w:rFonts w:ascii="Times New Roman" w:hAnsi="Times New Roman"/>
              </w:rPr>
            </w:pPr>
            <w:r>
              <w:rPr>
                <w:rFonts w:ascii="Times New Roman" w:hAnsi="Times New Roman"/>
              </w:rPr>
              <w:t>FFS: Number of bits and quantization for delta-MCS report</w:t>
            </w:r>
          </w:p>
          <w:p>
            <w:pPr>
              <w:pStyle w:val="114"/>
              <w:numPr>
                <w:ilvl w:val="1"/>
                <w:numId w:val="10"/>
              </w:numPr>
              <w:spacing w:before="120" w:after="160" w:line="252" w:lineRule="auto"/>
              <w:ind w:leftChars="0"/>
              <w:rPr>
                <w:lang w:val="en-GB" w:eastAsia="zh-CN"/>
              </w:rPr>
            </w:pPr>
            <w:r>
              <w:rPr>
                <w:rFonts w:ascii="Times New Roman" w:hAnsi="Times New Roman"/>
              </w:rPr>
              <w:t>FFS: whether delta-MCS is reported (Option 1) jointly with HARQ-ACK codebook or (Option 2) separately from HARQ-ACK codebook.</w:t>
            </w:r>
            <w:bookmarkEnd w:id="3"/>
          </w:p>
        </w:tc>
      </w:tr>
    </w:tbl>
    <w:p>
      <w:pPr>
        <w:spacing w:before="120" w:beforeLines="50"/>
        <w:rPr>
          <w:lang w:eastAsia="zh-CN"/>
        </w:rPr>
      </w:pPr>
      <w:r>
        <w:rPr>
          <w:rFonts w:hint="eastAsia"/>
          <w:lang w:val="en-GB" w:eastAsia="zh-CN"/>
        </w:rPr>
        <w:t xml:space="preserve">In this contribution, </w:t>
      </w:r>
      <w:r>
        <w:rPr>
          <w:rFonts w:hint="eastAsia"/>
          <w:lang w:val="en-US" w:eastAsia="zh-CN"/>
        </w:rPr>
        <w:t xml:space="preserve">the </w:t>
      </w:r>
      <w:r>
        <w:rPr>
          <w:rFonts w:hint="eastAsia"/>
          <w:lang w:eastAsia="zh-CN"/>
        </w:rPr>
        <w:t xml:space="preserve">simulation results </w:t>
      </w:r>
      <w:r>
        <w:rPr>
          <w:rFonts w:hint="eastAsia"/>
          <w:lang w:val="en-US" w:eastAsia="zh-CN"/>
        </w:rPr>
        <w:t xml:space="preserve">of the two schemes and our views </w:t>
      </w:r>
      <w:r>
        <w:rPr>
          <w:rFonts w:hint="eastAsia"/>
          <w:lang w:eastAsia="zh-CN"/>
        </w:rPr>
        <w:t xml:space="preserve">are also provided. </w:t>
      </w:r>
    </w:p>
    <w:p>
      <w:pPr>
        <w:pStyle w:val="2"/>
        <w:rPr>
          <w:lang w:val="en-US" w:eastAsia="zh-CN"/>
        </w:rPr>
      </w:pPr>
      <w:r>
        <w:rPr>
          <w:rFonts w:hint="eastAsia"/>
          <w:lang w:val="en-US" w:eastAsia="zh-CN"/>
        </w:rPr>
        <w:t>Discussion</w:t>
      </w:r>
    </w:p>
    <w:p>
      <w:pPr>
        <w:rPr>
          <w:rFonts w:hint="eastAsia"/>
          <w:lang w:val="en-US" w:eastAsia="zh-CN"/>
        </w:rPr>
      </w:pPr>
      <w:r>
        <w:rPr>
          <w:rFonts w:hint="eastAsia"/>
          <w:lang w:val="en-US" w:eastAsia="zh-CN"/>
        </w:rPr>
        <w:t xml:space="preserve">According to the agreements, there are two schemes for the CSI enhancements for the URLLC on the table. </w:t>
      </w:r>
    </w:p>
    <w:p>
      <w:pPr>
        <w:numPr>
          <w:ilvl w:val="0"/>
          <w:numId w:val="11"/>
        </w:numPr>
        <w:ind w:left="420" w:leftChars="0" w:hanging="420" w:firstLineChars="0"/>
        <w:rPr>
          <w:rFonts w:hint="default"/>
          <w:lang w:val="en-US" w:eastAsia="zh-CN"/>
        </w:rPr>
      </w:pPr>
      <w:r>
        <w:rPr>
          <w:rFonts w:hint="eastAsia"/>
          <w:lang w:val="en-US" w:eastAsia="zh-CN"/>
        </w:rPr>
        <w:t>Case 1: Increasing granularity of subband CQI (3-bits differential subband CQI or 4-bits CQI)</w:t>
      </w:r>
    </w:p>
    <w:p>
      <w:pPr>
        <w:numPr>
          <w:ilvl w:val="0"/>
          <w:numId w:val="11"/>
        </w:numPr>
        <w:ind w:left="420" w:leftChars="0" w:hanging="420" w:firstLineChars="0"/>
        <w:rPr>
          <w:rFonts w:hint="default"/>
          <w:lang w:val="en-US" w:eastAsia="zh-CN"/>
        </w:rPr>
      </w:pPr>
      <w:r>
        <w:rPr>
          <w:rFonts w:hint="eastAsia"/>
          <w:lang w:val="en-US" w:eastAsia="zh-CN"/>
        </w:rPr>
        <w:t>Case 2: delta-MCS reporting based on the PDSCH decoding</w:t>
      </w:r>
    </w:p>
    <w:p>
      <w:pPr>
        <w:rPr>
          <w:rFonts w:hint="eastAsia"/>
          <w:lang w:val="en-US" w:eastAsia="zh-CN"/>
        </w:rPr>
      </w:pPr>
      <w:r>
        <w:rPr>
          <w:rFonts w:hint="eastAsia"/>
          <w:lang w:val="en-US" w:eastAsia="zh-CN"/>
        </w:rPr>
        <w:t xml:space="preserve">In current specification, 2 bit </w:t>
      </w:r>
      <w:r>
        <w:rPr>
          <w:lang w:eastAsia="ko-KR"/>
        </w:rPr>
        <w:t>differential CQI</w:t>
      </w:r>
      <w:r>
        <w:rPr>
          <w:rFonts w:hint="eastAsia"/>
          <w:lang w:val="en-US" w:eastAsia="zh-CN"/>
        </w:rPr>
        <w:t xml:space="preserve"> on top of wideband CQI is reported for sub-band to reduce the CSI overhead. It may lead to an inaccurate CQI report when the subband CQI is much less or higher than the wideband CQI, e.g., the difference between the subband CQI and the wideband CQI is less than -1 or larger than 2. Therefore, the benefit of Case 1 is to increase the accuracy of the reported subband CQI in some cases at the cost of increased CSI overhead. </w:t>
      </w:r>
    </w:p>
    <w:p>
      <w:pPr>
        <w:rPr>
          <w:rFonts w:hint="default"/>
          <w:i/>
          <w:iCs/>
          <w:lang w:val="en-US" w:eastAsia="zh-CN"/>
        </w:rPr>
      </w:pPr>
      <w:r>
        <w:rPr>
          <w:rFonts w:hint="eastAsia"/>
          <w:b/>
          <w:bCs/>
          <w:i/>
          <w:iCs/>
          <w:lang w:val="en-US" w:eastAsia="zh-CN"/>
        </w:rPr>
        <w:t>Observation 1:</w:t>
      </w:r>
      <w:r>
        <w:rPr>
          <w:rFonts w:hint="eastAsia"/>
          <w:i/>
          <w:iCs/>
          <w:lang w:val="en-US" w:eastAsia="zh-CN"/>
        </w:rPr>
        <w:t xml:space="preserve"> The benefit of Case 1 is to increase the accuracy of the reported subband CQI in some cases at the cost of the high CSI overhead.</w:t>
      </w:r>
    </w:p>
    <w:p>
      <w:pPr>
        <w:rPr>
          <w:rFonts w:hint="eastAsia"/>
          <w:lang w:val="en-US" w:eastAsia="zh-CN"/>
        </w:rPr>
      </w:pPr>
      <w:r>
        <w:rPr>
          <w:rFonts w:hint="eastAsia"/>
          <w:lang w:val="en-US" w:eastAsia="zh-CN"/>
        </w:rPr>
        <w:t xml:space="preserve">For Case 2, the delta-MCS is obtained from </w:t>
      </w:r>
      <w:r>
        <w:rPr>
          <w:rFonts w:ascii="Times New Roman" w:hAnsi="Times New Roman"/>
        </w:rPr>
        <w:t>the difference between</w:t>
      </w:r>
      <w:r>
        <w:rPr>
          <w:rFonts w:hint="eastAsia"/>
          <w:lang w:val="en-US" w:eastAsia="zh-CN"/>
        </w:rPr>
        <w:t xml:space="preserve"> the scheduled MCS and the required MCS for a TB when the UE decodes the PDSCH. Therefore, it does not require additional reference signal for measurement, e.g., CSI-RS. And additional processing time for obtaining the delta-MCS is not needed as well. It can be reported together with the HARQ-ACK codebook or separately. In any case, it can be reported more frequently than the current CSI report as a kind of special CSI. Therefore, it can help the network to be aware of the channel state on time, especially when the channel state change rapidly.</w:t>
      </w:r>
    </w:p>
    <w:p>
      <w:pPr>
        <w:rPr>
          <w:rFonts w:hint="default"/>
          <w:i/>
          <w:iCs/>
          <w:lang w:val="en-US" w:eastAsia="zh-CN"/>
        </w:rPr>
      </w:pPr>
      <w:r>
        <w:rPr>
          <w:rFonts w:hint="eastAsia"/>
          <w:b/>
          <w:bCs/>
          <w:i/>
          <w:iCs/>
          <w:lang w:val="en-US" w:eastAsia="zh-CN"/>
        </w:rPr>
        <w:t>Observation 2:</w:t>
      </w:r>
      <w:r>
        <w:rPr>
          <w:rFonts w:hint="eastAsia"/>
          <w:i/>
          <w:iCs/>
          <w:lang w:val="en-US" w:eastAsia="zh-CN"/>
        </w:rPr>
        <w:t xml:space="preserve"> Delta-MCS reporting can provide the exact channel state more frequently and timely. </w:t>
      </w:r>
    </w:p>
    <w:p>
      <w:pPr>
        <w:rPr>
          <w:rFonts w:hint="default"/>
          <w:lang w:val="en-US" w:eastAsia="zh-CN"/>
        </w:rPr>
      </w:pPr>
      <w:r>
        <w:rPr>
          <w:rFonts w:hint="eastAsia"/>
          <w:lang w:val="en-US" w:eastAsia="zh-CN"/>
        </w:rPr>
        <w:t>When the network schedules a PDSCH transmission, it should predict the current channel state of the UE based on the reported CQI from the UE and OLLA. Sometimes, the predicted channel state may not be correct due to the imperfect prediction algorithm or the rapid channel state change. The reported delta-MCS is very helpful since it can let the network know the exact gap between the predicted channel state and the actual channel state the UE experience. Therefore, when the network gets the delta-MCS report, it</w:t>
      </w:r>
      <w:r>
        <w:rPr>
          <w:lang w:eastAsia="zh-CN"/>
        </w:rPr>
        <w:t xml:space="preserve"> can adjust the MCS more efficiently </w:t>
      </w:r>
      <w:r>
        <w:rPr>
          <w:rFonts w:hint="eastAsia"/>
          <w:lang w:val="en-US" w:eastAsia="zh-CN"/>
        </w:rPr>
        <w:t xml:space="preserve">and accurately for the subsequent scheduling </w:t>
      </w:r>
      <w:r>
        <w:rPr>
          <w:lang w:eastAsia="zh-CN"/>
        </w:rPr>
        <w:t xml:space="preserve">than the traditional OLLA based on HARQ-ACK. </w:t>
      </w:r>
      <w:r>
        <w:rPr>
          <w:rFonts w:hint="eastAsia"/>
          <w:lang w:val="en-US" w:eastAsia="zh-CN"/>
        </w:rPr>
        <w:t>This is very important for the URLLC service. Because i</w:t>
      </w:r>
      <w:r>
        <w:rPr>
          <w:lang w:eastAsia="zh-CN"/>
        </w:rPr>
        <w:t xml:space="preserve">f the NACK happens, the </w:t>
      </w:r>
      <w:r>
        <w:rPr>
          <w:rFonts w:hint="eastAsia"/>
          <w:lang w:val="en-US" w:eastAsia="zh-CN"/>
        </w:rPr>
        <w:t xml:space="preserve">network should make sure the </w:t>
      </w:r>
      <w:r>
        <w:rPr>
          <w:lang w:eastAsia="zh-CN"/>
        </w:rPr>
        <w:t xml:space="preserve">corresponding retransmission must be decoded successfully due to the high </w:t>
      </w:r>
      <w:r>
        <w:rPr>
          <w:rFonts w:hint="eastAsia"/>
          <w:lang w:val="en-US" w:eastAsia="zh-CN"/>
        </w:rPr>
        <w:t xml:space="preserve">latency </w:t>
      </w:r>
      <w:r>
        <w:rPr>
          <w:lang w:eastAsia="zh-CN"/>
        </w:rPr>
        <w:t xml:space="preserve">requirement of URLLC. </w:t>
      </w:r>
    </w:p>
    <w:p>
      <w:pPr>
        <w:rPr>
          <w:rFonts w:hint="default"/>
          <w:i/>
          <w:iCs/>
          <w:lang w:val="en-US" w:eastAsia="zh-CN"/>
        </w:rPr>
      </w:pPr>
      <w:r>
        <w:rPr>
          <w:rFonts w:hint="eastAsia"/>
          <w:b/>
          <w:bCs/>
          <w:i/>
          <w:iCs/>
          <w:lang w:val="en-US" w:eastAsia="zh-CN"/>
        </w:rPr>
        <w:t>Observation 3:</w:t>
      </w:r>
      <w:r>
        <w:rPr>
          <w:rFonts w:hint="eastAsia"/>
          <w:i/>
          <w:iCs/>
          <w:lang w:val="en-US" w:eastAsia="zh-CN"/>
        </w:rPr>
        <w:t xml:space="preserve"> Delta-MCS reporting is helpful for the efficient and accurate scheduling.</w:t>
      </w:r>
    </w:p>
    <w:p>
      <w:pPr>
        <w:rPr>
          <w:rFonts w:hint="default"/>
          <w:lang w:val="en-US" w:eastAsia="zh-CN"/>
        </w:rPr>
      </w:pPr>
      <w:r>
        <w:rPr>
          <w:rFonts w:hint="eastAsia"/>
          <w:lang w:val="en-US" w:eastAsia="zh-CN"/>
        </w:rPr>
        <w:t>The simulation results for Case 1 and Case 2 for Rel-15 AR/VR are shown in the Table 1 blow. The baseline is the current subband CQI report with the period of 10ms. The other simulation assumptions are shown in the appendix.</w:t>
      </w:r>
    </w:p>
    <w:p>
      <w:pPr>
        <w:jc w:val="center"/>
        <w:rPr>
          <w:lang w:eastAsia="zh-CN"/>
        </w:rPr>
      </w:pPr>
      <w:r>
        <w:rPr>
          <w:lang w:eastAsia="zh-CN"/>
        </w:rPr>
        <w:t xml:space="preserve">Table </w:t>
      </w:r>
      <w:r>
        <w:rPr>
          <w:rFonts w:hint="eastAsia"/>
          <w:lang w:val="en-US" w:eastAsia="zh-CN"/>
        </w:rPr>
        <w:t>1</w:t>
      </w:r>
      <w:r>
        <w:rPr>
          <w:lang w:eastAsia="zh-CN"/>
        </w:rPr>
        <w:t xml:space="preserve"> The simulation results for Case-2 reports in R15 AR/VR scenario</w:t>
      </w:r>
    </w:p>
    <w:tbl>
      <w:tblPr>
        <w:tblStyle w:val="51"/>
        <w:tblW w:w="7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70"/>
        <w:gridCol w:w="1312"/>
        <w:gridCol w:w="1419"/>
        <w:gridCol w:w="2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shd w:val="clear" w:color="auto" w:fill="auto"/>
            <w:vAlign w:val="top"/>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ascii="Times New Roman" w:hAnsi="Times New Roman" w:eastAsia="宋体" w:cs="Times New Roman"/>
                <w:bCs/>
                <w:sz w:val="20"/>
                <w:szCs w:val="20"/>
                <w:lang w:val="en-US" w:eastAsia="zh-CN" w:bidi="ar-SA"/>
              </w:rPr>
            </w:pPr>
            <w:r>
              <w:rPr>
                <w:rFonts w:hint="eastAsia"/>
                <w:bCs/>
                <w:sz w:val="20"/>
                <w:szCs w:val="20"/>
                <w:lang w:val="en-US" w:eastAsia="zh-CN"/>
              </w:rPr>
              <w:t>C</w:t>
            </w:r>
            <w:r>
              <w:rPr>
                <w:bCs/>
                <w:sz w:val="20"/>
                <w:szCs w:val="20"/>
                <w:lang w:eastAsia="zh-CN"/>
              </w:rPr>
              <w:t>ases</w:t>
            </w:r>
          </w:p>
        </w:tc>
        <w:tc>
          <w:tcPr>
            <w:tcW w:w="1270" w:type="dxa"/>
            <w:shd w:val="clear" w:color="auto" w:fill="auto"/>
            <w:vAlign w:val="top"/>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sz w:val="20"/>
                <w:szCs w:val="20"/>
                <w:lang w:eastAsia="zh-CN"/>
              </w:rPr>
            </w:pPr>
            <w:r>
              <w:rPr>
                <w:sz w:val="20"/>
                <w:szCs w:val="20"/>
                <w:lang w:eastAsia="zh-CN"/>
              </w:rPr>
              <w:t>Percentage</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sz w:val="20"/>
                <w:szCs w:val="20"/>
                <w:lang w:val="en-US" w:eastAsia="zh-CN"/>
              </w:rPr>
            </w:pPr>
            <w:r>
              <w:rPr>
                <w:rFonts w:hint="eastAsia"/>
                <w:sz w:val="20"/>
                <w:szCs w:val="20"/>
                <w:lang w:val="en-US" w:eastAsia="zh-CN"/>
              </w:rPr>
              <w:t>(%)</w:t>
            </w:r>
          </w:p>
        </w:tc>
        <w:tc>
          <w:tcPr>
            <w:tcW w:w="1312" w:type="dxa"/>
            <w:shd w:val="clear" w:color="auto" w:fill="auto"/>
            <w:vAlign w:val="top"/>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ascii="Times New Roman" w:hAnsi="Times New Roman" w:eastAsia="宋体" w:cs="Times New Roman"/>
                <w:sz w:val="20"/>
                <w:szCs w:val="20"/>
                <w:lang w:val="en-US" w:eastAsia="zh-CN" w:bidi="ar-SA"/>
              </w:rPr>
            </w:pPr>
            <w:r>
              <w:rPr>
                <w:sz w:val="20"/>
                <w:szCs w:val="20"/>
                <w:lang w:eastAsia="zh-CN"/>
              </w:rPr>
              <w:t xml:space="preserve">BLER of </w:t>
            </w:r>
            <w:r>
              <w:rPr>
                <w:sz w:val="20"/>
                <w:szCs w:val="20"/>
              </w:rPr>
              <w:t>1</w:t>
            </w:r>
            <w:r>
              <w:rPr>
                <w:sz w:val="20"/>
                <w:szCs w:val="20"/>
                <w:vertAlign w:val="superscript"/>
              </w:rPr>
              <w:t>st</w:t>
            </w:r>
          </w:p>
        </w:tc>
        <w:tc>
          <w:tcPr>
            <w:tcW w:w="1419" w:type="dxa"/>
            <w:shd w:val="clear" w:color="auto" w:fill="auto"/>
            <w:vAlign w:val="top"/>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ascii="Times New Roman" w:hAnsi="Times New Roman" w:eastAsia="宋体" w:cs="Times New Roman"/>
                <w:sz w:val="20"/>
                <w:szCs w:val="20"/>
                <w:lang w:val="en-US" w:eastAsia="zh-CN" w:bidi="ar-SA"/>
              </w:rPr>
            </w:pPr>
            <w:r>
              <w:rPr>
                <w:sz w:val="20"/>
                <w:szCs w:val="20"/>
                <w:lang w:eastAsia="zh-CN"/>
              </w:rPr>
              <w:t>RU(%)</w:t>
            </w:r>
          </w:p>
        </w:tc>
        <w:tc>
          <w:tcPr>
            <w:tcW w:w="2121" w:type="dxa"/>
            <w:shd w:val="clear" w:color="auto" w:fill="auto"/>
            <w:vAlign w:val="top"/>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eastAsia"/>
                <w:sz w:val="20"/>
                <w:szCs w:val="20"/>
                <w:lang w:val="en-US" w:eastAsia="zh-CN"/>
              </w:rPr>
            </w:pPr>
            <w:bookmarkStart w:id="4" w:name="_GoBack"/>
            <w:bookmarkEnd w:id="4"/>
            <w:r>
              <w:rPr>
                <w:rFonts w:hint="eastAsia"/>
                <w:sz w:val="20"/>
                <w:szCs w:val="20"/>
                <w:lang w:val="en-US" w:eastAsia="zh-CN"/>
              </w:rPr>
              <w:t xml:space="preserve">Aggressive </w:t>
            </w:r>
            <w:r>
              <w:rPr>
                <w:sz w:val="20"/>
                <w:szCs w:val="20"/>
                <w:lang w:eastAsia="zh-CN"/>
              </w:rPr>
              <w:t>MCS ratio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shd w:val="clear" w:color="auto" w:fill="auto"/>
            <w:vAlign w:val="top"/>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eastAsia" w:ascii="Times New Roman" w:hAnsi="Times New Roman" w:eastAsia="宋体" w:cs="Times New Roman"/>
                <w:bCs/>
                <w:sz w:val="20"/>
                <w:szCs w:val="20"/>
                <w:lang w:val="en-US" w:eastAsia="zh-CN" w:bidi="ar-SA"/>
              </w:rPr>
            </w:pPr>
            <w:r>
              <w:rPr>
                <w:rFonts w:hint="eastAsia"/>
                <w:sz w:val="20"/>
                <w:szCs w:val="20"/>
                <w:lang w:val="en-US" w:eastAsia="zh-CN"/>
              </w:rPr>
              <w:t>Baseline</w:t>
            </w:r>
          </w:p>
        </w:tc>
        <w:tc>
          <w:tcPr>
            <w:tcW w:w="1270"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default"/>
                <w:lang w:val="en-US" w:eastAsia="zh-CN"/>
              </w:rPr>
              <w:t>86.67%</w:t>
            </w:r>
          </w:p>
        </w:tc>
        <w:tc>
          <w:tcPr>
            <w:tcW w:w="1312"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kern w:val="2"/>
                <w:sz w:val="20"/>
                <w:szCs w:val="20"/>
                <w:lang w:val="en-US" w:eastAsia="zh-CN"/>
              </w:rPr>
            </w:pPr>
            <w:r>
              <w:rPr>
                <w:rFonts w:hint="eastAsia"/>
                <w:kern w:val="2"/>
                <w:sz w:val="20"/>
                <w:szCs w:val="20"/>
                <w:lang w:val="en-US" w:eastAsia="zh-CN"/>
              </w:rPr>
              <w:t>0.1588</w:t>
            </w:r>
          </w:p>
        </w:tc>
        <w:tc>
          <w:tcPr>
            <w:tcW w:w="1419"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eastAsia"/>
                <w:lang w:val="en-US" w:eastAsia="zh-CN"/>
              </w:rPr>
              <w:t>4.30%</w:t>
            </w:r>
          </w:p>
        </w:tc>
        <w:tc>
          <w:tcPr>
            <w:tcW w:w="2121"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default"/>
                <w:lang w:val="en-US" w:eastAsia="zh-CN"/>
              </w:rPr>
              <w:t>0.1638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shd w:val="clear" w:color="auto" w:fill="auto"/>
            <w:vAlign w:val="top"/>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eastAsia" w:ascii="Times New Roman" w:hAnsi="Times New Roman" w:eastAsia="宋体" w:cs="Times New Roman"/>
                <w:sz w:val="20"/>
                <w:szCs w:val="20"/>
                <w:lang w:val="en-US" w:eastAsia="zh-CN" w:bidi="ar-SA"/>
              </w:rPr>
            </w:pPr>
            <w:r>
              <w:rPr>
                <w:rFonts w:hint="eastAsia"/>
                <w:sz w:val="20"/>
                <w:szCs w:val="20"/>
                <w:lang w:val="en-US" w:eastAsia="zh-CN"/>
              </w:rPr>
              <w:t>Case 1</w:t>
            </w:r>
          </w:p>
        </w:tc>
        <w:tc>
          <w:tcPr>
            <w:tcW w:w="1270"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default"/>
                <w:lang w:val="en-US" w:eastAsia="zh-CN"/>
              </w:rPr>
              <w:t>85.71%</w:t>
            </w:r>
          </w:p>
        </w:tc>
        <w:tc>
          <w:tcPr>
            <w:tcW w:w="1312"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kern w:val="2"/>
                <w:sz w:val="20"/>
                <w:szCs w:val="20"/>
                <w:lang w:val="en-US" w:eastAsia="zh-CN"/>
              </w:rPr>
            </w:pPr>
            <w:r>
              <w:rPr>
                <w:rFonts w:hint="eastAsia"/>
                <w:kern w:val="2"/>
                <w:sz w:val="20"/>
                <w:szCs w:val="20"/>
                <w:lang w:val="en-US" w:eastAsia="zh-CN"/>
              </w:rPr>
              <w:t>0.1589</w:t>
            </w:r>
          </w:p>
        </w:tc>
        <w:tc>
          <w:tcPr>
            <w:tcW w:w="1419"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eastAsia"/>
                <w:lang w:val="en-US" w:eastAsia="zh-CN"/>
              </w:rPr>
              <w:t>4.28%</w:t>
            </w:r>
          </w:p>
        </w:tc>
        <w:tc>
          <w:tcPr>
            <w:tcW w:w="2121"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default"/>
                <w:lang w:val="en-US" w:eastAsia="zh-CN"/>
              </w:rPr>
              <w:t>0.1709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shd w:val="clear" w:color="auto" w:fill="auto"/>
            <w:vAlign w:val="top"/>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eastAsia" w:ascii="Times New Roman" w:hAnsi="Times New Roman" w:eastAsia="宋体" w:cs="Times New Roman"/>
                <w:sz w:val="20"/>
                <w:szCs w:val="20"/>
                <w:lang w:val="en-US" w:eastAsia="zh-CN" w:bidi="ar-SA"/>
              </w:rPr>
            </w:pPr>
            <w:r>
              <w:rPr>
                <w:rFonts w:hint="eastAsia"/>
                <w:sz w:val="20"/>
                <w:szCs w:val="20"/>
                <w:lang w:val="en-US" w:eastAsia="zh-CN"/>
              </w:rPr>
              <w:t>Case 2</w:t>
            </w:r>
          </w:p>
        </w:tc>
        <w:tc>
          <w:tcPr>
            <w:tcW w:w="1270"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default"/>
                <w:lang w:val="en-US" w:eastAsia="zh-CN"/>
              </w:rPr>
              <w:t>94.76%</w:t>
            </w:r>
          </w:p>
        </w:tc>
        <w:tc>
          <w:tcPr>
            <w:tcW w:w="1312"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kern w:val="2"/>
                <w:sz w:val="20"/>
                <w:szCs w:val="20"/>
                <w:lang w:val="en-US" w:eastAsia="zh-CN"/>
              </w:rPr>
            </w:pPr>
            <w:r>
              <w:rPr>
                <w:rFonts w:hint="eastAsia"/>
                <w:kern w:val="2"/>
                <w:sz w:val="20"/>
                <w:szCs w:val="20"/>
                <w:lang w:val="en-US" w:eastAsia="zh-CN"/>
              </w:rPr>
              <w:t>0.0845</w:t>
            </w:r>
          </w:p>
        </w:tc>
        <w:tc>
          <w:tcPr>
            <w:tcW w:w="1419"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default"/>
                <w:lang w:val="en-US" w:eastAsia="zh-CN"/>
              </w:rPr>
              <w:t>8.09%</w:t>
            </w:r>
          </w:p>
        </w:tc>
        <w:tc>
          <w:tcPr>
            <w:tcW w:w="2121" w:type="dxa"/>
            <w:shd w:val="clear" w:color="auto" w:fill="auto"/>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jc w:val="center"/>
              <w:textAlignment w:val="baseline"/>
              <w:rPr>
                <w:rFonts w:hint="default"/>
                <w:lang w:val="en-US" w:eastAsia="zh-CN"/>
              </w:rPr>
            </w:pPr>
            <w:r>
              <w:rPr>
                <w:rFonts w:hint="default"/>
                <w:lang w:val="en-US" w:eastAsia="zh-CN"/>
              </w:rPr>
              <w:t>0.0771</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From the simulation results, it can be seen that the performance of the Case 1 is a bit worse than the baseline in terms of the percentage of the satisfied UE. The reason is that the network always selects the best sub-band for the PDSCH scheduling for the UE. In the baseline, the reported CQI is lower than the actual CQI for the best sub-band. It leads to the network performs a relative preserve scheduling. Therefore, the BLER of the first transmission and the aggressive MCS ratio are both lower. For the Case 2 report, it can improve the performance as expected.</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Observation 4:</w:t>
      </w:r>
      <w:r>
        <w:rPr>
          <w:rFonts w:hint="eastAsia"/>
          <w:i/>
          <w:iCs/>
          <w:lang w:val="en-US" w:eastAsia="zh-CN"/>
        </w:rPr>
        <w:t xml:space="preserve"> Case 2 can improve the performance on percentage of the satisfied UE.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Considering that Case 1 and Case 2 both needs additional report overhead but Case 2 have more benefits and prominent performance gain, Case 2 is preferred for the CSI enhancement for the URLLC.</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b/>
          <w:bCs/>
          <w:i/>
          <w:iCs/>
          <w:lang w:val="en-US" w:eastAsia="zh-CN"/>
        </w:rPr>
      </w:pPr>
      <w:r>
        <w:rPr>
          <w:rFonts w:hint="eastAsia"/>
          <w:b/>
          <w:bCs/>
          <w:i/>
          <w:iCs/>
          <w:lang w:val="en-US" w:eastAsia="zh-CN"/>
        </w:rPr>
        <w:t xml:space="preserve">Proposal 1: </w:t>
      </w:r>
      <w:r>
        <w:rPr>
          <w:rFonts w:hint="eastAsia"/>
          <w:b w:val="0"/>
          <w:bCs w:val="0"/>
          <w:i/>
          <w:iCs/>
          <w:lang w:val="en-US" w:eastAsia="zh-CN"/>
        </w:rPr>
        <w:t>Case 2 should be supported for the CSI enhancement for the URLLC</w:t>
      </w:r>
      <w:r>
        <w:rPr>
          <w:rFonts w:hint="eastAsia"/>
          <w:b/>
          <w:bCs/>
          <w:i/>
          <w:i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eastAsia"/>
          <w:lang w:val="en-US" w:eastAsia="zh-CN"/>
        </w:rPr>
      </w:pPr>
      <w:r>
        <w:rPr>
          <w:rFonts w:hint="eastAsia"/>
          <w:lang w:val="en-US" w:eastAsia="zh-CN"/>
        </w:rPr>
        <w:t>For Case 2, the delta MCS is calculated from the difference between I</w:t>
      </w:r>
      <w:r>
        <w:rPr>
          <w:rFonts w:hint="eastAsia"/>
          <w:vertAlign w:val="subscript"/>
          <w:lang w:val="en-US" w:eastAsia="zh-CN"/>
        </w:rPr>
        <w:t>MCS_tgt</w:t>
      </w:r>
      <w:r>
        <w:rPr>
          <w:rFonts w:hint="eastAsia"/>
          <w:lang w:val="en-US" w:eastAsia="zh-CN"/>
        </w:rPr>
        <w:t xml:space="preserve"> and I</w:t>
      </w:r>
      <w:r>
        <w:rPr>
          <w:rFonts w:hint="eastAsia"/>
          <w:vertAlign w:val="subscript"/>
          <w:lang w:val="en-US" w:eastAsia="zh-CN"/>
        </w:rPr>
        <w:t>MCS</w:t>
      </w:r>
      <w:r>
        <w:rPr>
          <w:rFonts w:hint="eastAsia"/>
          <w:lang w:val="en-US" w:eastAsia="zh-CN"/>
        </w:rPr>
        <w:t>, where I</w:t>
      </w:r>
      <w:r>
        <w:rPr>
          <w:rFonts w:hint="eastAsia"/>
          <w:vertAlign w:val="subscript"/>
          <w:lang w:val="en-US" w:eastAsia="zh-CN"/>
        </w:rPr>
        <w:t>MCS_tgt</w:t>
      </w:r>
      <w:r>
        <w:rPr>
          <w:rFonts w:hint="eastAsia"/>
          <w:lang w:val="en-US" w:eastAsia="zh-CN"/>
        </w:rPr>
        <w:t xml:space="preserve"> is largest MCS index such that estimated BLER for a TB received with this MCS index would be smaller than or equal to a BLER target, and I</w:t>
      </w:r>
      <w:r>
        <w:rPr>
          <w:rFonts w:hint="eastAsia"/>
          <w:vertAlign w:val="subscript"/>
          <w:lang w:val="en-US" w:eastAsia="zh-CN"/>
        </w:rPr>
        <w:t>MCS</w:t>
      </w:r>
      <w:r>
        <w:rPr>
          <w:rFonts w:hint="eastAsia"/>
          <w:lang w:val="en-US" w:eastAsia="zh-CN"/>
        </w:rPr>
        <w:t xml:space="preserve"> is the MCS index of the received TB. Under a certain SINR, I</w:t>
      </w:r>
      <w:r>
        <w:rPr>
          <w:rFonts w:hint="eastAsia"/>
          <w:vertAlign w:val="subscript"/>
          <w:lang w:val="en-US" w:eastAsia="zh-CN"/>
        </w:rPr>
        <w:t>MCS_tgt</w:t>
      </w:r>
      <w:r>
        <w:rPr>
          <w:rFonts w:hint="eastAsia"/>
          <w:lang w:val="en-US" w:eastAsia="zh-CN"/>
        </w:rPr>
        <w:t xml:space="preserve"> is related to the TB size. Since the delta-MCS is obtained when the UE decodes the received TB, the TB size of the received TB should be used to determine the maximum MCS. </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eastAsia"/>
          <w:b/>
          <w:bCs/>
          <w:i/>
          <w:iCs/>
          <w:lang w:val="en-US" w:eastAsia="zh-CN"/>
        </w:rPr>
        <w:t>Proposal 2:</w:t>
      </w:r>
      <w:r>
        <w:rPr>
          <w:rFonts w:hint="eastAsia"/>
          <w:i/>
          <w:iCs/>
          <w:lang w:val="en-US" w:eastAsia="zh-CN"/>
        </w:rPr>
        <w:t xml:space="preserve"> The TB size of the received TB should be used to determine the maximum MCS. </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lang w:val="en-US" w:eastAsia="zh-CN"/>
        </w:rPr>
      </w:pPr>
      <w:r>
        <w:rPr>
          <w:rFonts w:hint="eastAsia"/>
          <w:lang w:val="en-US" w:eastAsia="zh-CN"/>
        </w:rPr>
        <w:t xml:space="preserve">The delta-MCS and the HARQ-ACK codebook can be reported jointly or separately. For the separate reporting, it needs a specific PUCCH resource for the delta MCS report. It can be indicated by the DL DCI or configured by the RRC signaling. If the DL DCI is used, another PRI field and K1 field may be needed. In any case, it may delay the delta-MCS report. Considering that the gap between the PDSCH decoding to obtain the delta-MCS and delta-MCS reporting should be smaller as possible, the joint reporting of the delta-MCS and HARQ-ACK codebook is preferred. And joint coding for the delta-MCS and ACK/NACK can also be considered to provide more flexibility. </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eastAsia"/>
          <w:b/>
          <w:bCs/>
          <w:i/>
          <w:iCs/>
          <w:lang w:val="en-US" w:eastAsia="zh-CN"/>
        </w:rPr>
        <w:t>Proposal 3:</w:t>
      </w:r>
      <w:r>
        <w:rPr>
          <w:rFonts w:hint="eastAsia"/>
          <w:i/>
          <w:iCs/>
          <w:lang w:val="en-US" w:eastAsia="zh-CN"/>
        </w:rPr>
        <w:t xml:space="preserve"> The delta-MCS and the HARQ-ACK codebook should be reported jointly. </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eastAsia"/>
          <w:lang w:val="en-US" w:eastAsia="zh-CN"/>
        </w:rPr>
      </w:pPr>
      <w:r>
        <w:rPr>
          <w:rFonts w:hint="eastAsia"/>
          <w:lang w:val="en-US" w:eastAsia="zh-CN"/>
        </w:rPr>
        <w:t xml:space="preserve">The delta-MCS is reported together with the HARQ-ACK codebook. The delta-MCS reporting can be triggered by the DL DCI or enabled by the RRC signaling/MAC CE.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37" w:beforeLines="50" w:line="240" w:lineRule="auto"/>
        <w:ind w:left="420" w:leftChars="0" w:hanging="420" w:firstLineChars="0"/>
        <w:textAlignment w:val="baseline"/>
        <w:rPr>
          <w:rFonts w:hint="default"/>
          <w:lang w:val="en-US" w:eastAsia="zh-CN"/>
        </w:rPr>
      </w:pPr>
      <w:r>
        <w:rPr>
          <w:rFonts w:hint="eastAsia"/>
          <w:lang w:val="en-US" w:eastAsia="zh-CN"/>
        </w:rPr>
        <w:t>DL DCI</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lang w:val="en-US" w:eastAsia="zh-CN"/>
        </w:rPr>
      </w:pPr>
      <w:r>
        <w:rPr>
          <w:rFonts w:hint="eastAsia"/>
          <w:lang w:val="en-US" w:eastAsia="zh-CN"/>
        </w:rPr>
        <w:t>The delta-MCS reporting is indicated per PDSCH. The delta-MCS report size depends on the DL DCI indication. So DTX may lead to the the delta-MCS report size is not aligned between the network and the UE. To resolve this, it can be specified that delta-MCS reporting can only be triggered by the last DL DCI. It make senses since the reliability of the last DL DCI is very high and the delta-MCS should be reported as soon as possible for URLLC as discussed above.</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37" w:beforeLines="50" w:line="240" w:lineRule="auto"/>
        <w:ind w:left="420" w:leftChars="0" w:hanging="420" w:firstLineChars="0"/>
        <w:textAlignment w:val="baseline"/>
        <w:rPr>
          <w:rFonts w:hint="default"/>
          <w:lang w:val="en-US" w:eastAsia="zh-CN"/>
        </w:rPr>
      </w:pPr>
      <w:r>
        <w:rPr>
          <w:rFonts w:hint="eastAsia"/>
          <w:lang w:val="en-US" w:eastAsia="zh-CN"/>
        </w:rPr>
        <w:t>RRC signaling/MAC CE</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lang w:val="en-US" w:eastAsia="zh-CN"/>
        </w:rPr>
      </w:pPr>
      <w:r>
        <w:rPr>
          <w:rFonts w:hint="eastAsia"/>
          <w:lang w:val="en-US" w:eastAsia="zh-CN"/>
        </w:rPr>
        <w:t>If the RRC signaling or MAC CE enables the delta-MCS reporting, the UE should report the delta-MCS for each PDSCH. There is no ambiguity on delta-MCS report size. However, it may increase the UCI payload especially for type1 HARQ-ACK codebook. If the UCI payload is an issue, it can be specified that a delta-MCS report includes a certain number of the delta-MCS. Each delta-MCS corresponds to a cell, or more specifically, the last PDSCH of the cell.</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eastAsia"/>
          <w:b/>
          <w:bCs/>
          <w:i/>
          <w:iCs/>
          <w:lang w:val="en-US" w:eastAsia="zh-CN"/>
        </w:rPr>
        <w:t>Proposal 4:</w:t>
      </w:r>
      <w:r>
        <w:rPr>
          <w:rFonts w:hint="eastAsia"/>
          <w:i/>
          <w:iCs/>
          <w:lang w:val="en-US" w:eastAsia="zh-CN"/>
        </w:rPr>
        <w:t xml:space="preserve"> The delta-MCS reporting can be triggered by the DL DCI or enabled by the RRC signaling/MAC CE.</w:t>
      </w:r>
    </w:p>
    <w:p>
      <w:pPr>
        <w:bidi w:val="0"/>
        <w:rPr>
          <w:rFonts w:hint="default"/>
          <w:lang w:val="en-US" w:eastAsia="zh-CN"/>
        </w:rPr>
      </w:pPr>
      <w:r>
        <w:rPr>
          <w:rFonts w:hint="eastAsia"/>
          <w:lang w:val="en-US" w:eastAsia="zh-CN"/>
        </w:rPr>
        <w:t xml:space="preserve">For the number of bits for delta-MCS report, it should be the compromise between the accuracy and the overhead. It also depends on the maximum difference between the scheduled MCS and the target MCS, which is determined by the channel state and interference condition. For example, if the interference change is not rapid, maybe one bit for the delta-MCS is sufficient. However, if the interfere change is very fast and predicted very difficultly, more bits are required. Therefore, the number of the bits for the delta-MCS should be configured by the network and 1, 2, or 3 could be the candidate value. </w:t>
      </w:r>
    </w:p>
    <w:p>
      <w:pPr>
        <w:bidi w:val="0"/>
        <w:rPr>
          <w:rFonts w:hint="default"/>
          <w:lang w:val="en-US" w:eastAsia="zh-CN"/>
        </w:rPr>
      </w:pPr>
      <w:r>
        <w:rPr>
          <w:rFonts w:hint="eastAsia"/>
          <w:b/>
          <w:bCs/>
          <w:i/>
          <w:iCs/>
          <w:lang w:val="en-US" w:eastAsia="zh-CN"/>
        </w:rPr>
        <w:t>Proposal 5:</w:t>
      </w:r>
      <w:r>
        <w:rPr>
          <w:rFonts w:hint="eastAsia"/>
          <w:i/>
          <w:iCs/>
          <w:lang w:val="en-US" w:eastAsia="zh-CN"/>
        </w:rPr>
        <w:t xml:space="preserve"> The number of the bits for the delta-MCS should be configured by the network and 1, 2, or 3 could be the candidate value.</w:t>
      </w:r>
    </w:p>
    <w:p>
      <w:pPr>
        <w:pStyle w:val="2"/>
        <w:rPr>
          <w:lang w:val="en-US" w:eastAsia="zh-CN"/>
        </w:rPr>
      </w:pPr>
      <w:r>
        <w:rPr>
          <w:lang w:val="en-US" w:eastAsia="zh-CN"/>
        </w:rPr>
        <w:t>Conclusion</w:t>
      </w:r>
    </w:p>
    <w:p>
      <w:pPr>
        <w:rPr>
          <w:lang w:eastAsia="zh-CN"/>
        </w:rPr>
      </w:pPr>
      <w:r>
        <w:rPr>
          <w:lang w:eastAsia="zh-CN"/>
        </w:rPr>
        <w:t>According to the analysis above, we have the following observations and proposals:</w:t>
      </w:r>
    </w:p>
    <w:p>
      <w:pPr>
        <w:rPr>
          <w:rFonts w:hint="default"/>
          <w:i/>
          <w:iCs/>
          <w:lang w:val="en-US" w:eastAsia="zh-CN"/>
        </w:rPr>
      </w:pPr>
      <w:r>
        <w:rPr>
          <w:rFonts w:hint="eastAsia"/>
          <w:b/>
          <w:bCs/>
          <w:i/>
          <w:iCs/>
          <w:lang w:val="en-US" w:eastAsia="zh-CN"/>
        </w:rPr>
        <w:t>Observation 1:</w:t>
      </w:r>
      <w:r>
        <w:rPr>
          <w:rFonts w:hint="eastAsia"/>
          <w:i/>
          <w:iCs/>
          <w:lang w:val="en-US" w:eastAsia="zh-CN"/>
        </w:rPr>
        <w:t xml:space="preserve"> The benefit of Case 1 is to increase the accuracy of the reported subband CQI in some cases at the cost of the high CSI overhead.</w:t>
      </w:r>
    </w:p>
    <w:p>
      <w:pPr>
        <w:rPr>
          <w:rFonts w:hint="default"/>
          <w:i/>
          <w:iCs/>
          <w:lang w:val="en-US" w:eastAsia="zh-CN"/>
        </w:rPr>
      </w:pPr>
      <w:r>
        <w:rPr>
          <w:rFonts w:hint="eastAsia"/>
          <w:b/>
          <w:bCs/>
          <w:i/>
          <w:iCs/>
          <w:lang w:val="en-US" w:eastAsia="zh-CN"/>
        </w:rPr>
        <w:t>Observation 2:</w:t>
      </w:r>
      <w:r>
        <w:rPr>
          <w:rFonts w:hint="eastAsia"/>
          <w:i/>
          <w:iCs/>
          <w:lang w:val="en-US" w:eastAsia="zh-CN"/>
        </w:rPr>
        <w:t xml:space="preserve"> Delta-MCS reporting can provide the channel state more frequently and timely.</w:t>
      </w:r>
    </w:p>
    <w:p>
      <w:pPr>
        <w:rPr>
          <w:rFonts w:hint="default"/>
          <w:i/>
          <w:iCs/>
          <w:lang w:val="en-US" w:eastAsia="zh-CN"/>
        </w:rPr>
      </w:pPr>
      <w:r>
        <w:rPr>
          <w:rFonts w:hint="eastAsia"/>
          <w:b/>
          <w:bCs/>
          <w:i/>
          <w:iCs/>
          <w:lang w:val="en-US" w:eastAsia="zh-CN"/>
        </w:rPr>
        <w:t>Observation 3:</w:t>
      </w:r>
      <w:r>
        <w:rPr>
          <w:rFonts w:hint="eastAsia"/>
          <w:i/>
          <w:iCs/>
          <w:lang w:val="en-US" w:eastAsia="zh-CN"/>
        </w:rPr>
        <w:t xml:space="preserve"> Delta-MCS reporting is helpful for the efficient and accurate scheduling.</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i/>
          <w:iCs/>
          <w:lang w:val="en-US" w:eastAsia="zh-CN"/>
        </w:rPr>
      </w:pPr>
      <w:r>
        <w:rPr>
          <w:rFonts w:hint="eastAsia"/>
          <w:b/>
          <w:bCs/>
          <w:i/>
          <w:iCs/>
          <w:lang w:val="en-US" w:eastAsia="zh-CN"/>
        </w:rPr>
        <w:t>Observation 4:</w:t>
      </w:r>
      <w:r>
        <w:rPr>
          <w:rFonts w:hint="eastAsia"/>
          <w:i/>
          <w:iCs/>
          <w:lang w:val="en-US" w:eastAsia="zh-CN"/>
        </w:rPr>
        <w:t xml:space="preserve"> Case 2 can improve the performance on percentage of the satisfied UE.</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b/>
          <w:bCs/>
          <w:i/>
          <w:iCs/>
          <w:lang w:val="en-US" w:eastAsia="zh-CN"/>
        </w:rPr>
      </w:pPr>
      <w:r>
        <w:rPr>
          <w:rFonts w:hint="eastAsia"/>
          <w:b/>
          <w:bCs/>
          <w:i/>
          <w:iCs/>
          <w:lang w:val="en-US" w:eastAsia="zh-CN"/>
        </w:rPr>
        <w:t xml:space="preserve">Proposal 1: </w:t>
      </w:r>
      <w:r>
        <w:rPr>
          <w:rFonts w:hint="eastAsia"/>
          <w:b w:val="0"/>
          <w:bCs w:val="0"/>
          <w:i/>
          <w:iCs/>
          <w:lang w:val="en-US" w:eastAsia="zh-CN"/>
        </w:rPr>
        <w:t>Case 2 should be supported for the CSI enhancement for the URLLC</w:t>
      </w:r>
      <w:r>
        <w:rPr>
          <w:rFonts w:hint="eastAsia"/>
          <w:b/>
          <w:bCs/>
          <w:i/>
          <w:i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eastAsia"/>
          <w:b/>
          <w:bCs/>
          <w:i/>
          <w:iCs/>
          <w:lang w:val="en-US" w:eastAsia="zh-CN"/>
        </w:rPr>
        <w:t>Proposal 2:</w:t>
      </w:r>
      <w:r>
        <w:rPr>
          <w:rFonts w:hint="eastAsia"/>
          <w:i/>
          <w:iCs/>
          <w:lang w:val="en-US" w:eastAsia="zh-CN"/>
        </w:rPr>
        <w:t xml:space="preserve"> The TB size of the received TB should be used to determine the maximum MCS.</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eastAsia"/>
          <w:b/>
          <w:bCs/>
          <w:i/>
          <w:iCs/>
          <w:lang w:val="en-US" w:eastAsia="zh-CN"/>
        </w:rPr>
        <w:t>Proposal 3:</w:t>
      </w:r>
      <w:r>
        <w:rPr>
          <w:rFonts w:hint="eastAsia"/>
          <w:i/>
          <w:iCs/>
          <w:lang w:val="en-US" w:eastAsia="zh-CN"/>
        </w:rPr>
        <w:t xml:space="preserve"> The delta-MCS and the HARQ-ACK codebook should be reported jointly.</w:t>
      </w:r>
    </w:p>
    <w:p>
      <w:pPr>
        <w:keepNext w:val="0"/>
        <w:keepLines w:val="0"/>
        <w:pageBreakBefore w:val="0"/>
        <w:widowControl/>
        <w:kinsoku/>
        <w:wordWrap/>
        <w:overflowPunct w:val="0"/>
        <w:topLinePunct w:val="0"/>
        <w:autoSpaceDE w:val="0"/>
        <w:autoSpaceDN w:val="0"/>
        <w:bidi w:val="0"/>
        <w:adjustRightInd w:val="0"/>
        <w:snapToGrid/>
        <w:spacing w:before="137" w:beforeLines="50" w:line="240" w:lineRule="auto"/>
        <w:textAlignment w:val="baseline"/>
        <w:rPr>
          <w:rFonts w:hint="default"/>
          <w:i/>
          <w:iCs/>
          <w:lang w:val="en-US" w:eastAsia="zh-CN"/>
        </w:rPr>
      </w:pPr>
      <w:r>
        <w:rPr>
          <w:rFonts w:hint="eastAsia"/>
          <w:b/>
          <w:bCs/>
          <w:i/>
          <w:iCs/>
          <w:lang w:val="en-US" w:eastAsia="zh-CN"/>
        </w:rPr>
        <w:t>Proposal 4:</w:t>
      </w:r>
      <w:r>
        <w:rPr>
          <w:rFonts w:hint="eastAsia"/>
          <w:i/>
          <w:iCs/>
          <w:lang w:val="en-US" w:eastAsia="zh-CN"/>
        </w:rPr>
        <w:t xml:space="preserve"> The delta-MCS reporting can be triggered by the DL DCI or enabled by the RRC signaling/MAC CE.</w:t>
      </w:r>
    </w:p>
    <w:p>
      <w:pPr>
        <w:bidi w:val="0"/>
        <w:rPr>
          <w:lang w:eastAsia="zh-CN"/>
        </w:rPr>
      </w:pPr>
      <w:r>
        <w:rPr>
          <w:rFonts w:hint="eastAsia"/>
          <w:b/>
          <w:bCs/>
          <w:i/>
          <w:iCs/>
          <w:lang w:val="en-US" w:eastAsia="zh-CN"/>
        </w:rPr>
        <w:t>Proposal 5:</w:t>
      </w:r>
      <w:r>
        <w:rPr>
          <w:rFonts w:hint="eastAsia"/>
          <w:i/>
          <w:iCs/>
          <w:lang w:val="en-US" w:eastAsia="zh-CN"/>
        </w:rPr>
        <w:t xml:space="preserve"> The number of the bits for the delta-MCS should be configured by the network and 1, 2, or 3 could be the candidate value.</w:t>
      </w:r>
    </w:p>
    <w:p>
      <w:pPr>
        <w:pStyle w:val="2"/>
        <w:rPr>
          <w:lang w:val="en-US" w:eastAsia="zh-CN"/>
        </w:rPr>
      </w:pPr>
      <w:r>
        <w:rPr>
          <w:lang w:val="en-US" w:eastAsia="zh-CN"/>
        </w:rPr>
        <w:t>Reference</w:t>
      </w:r>
    </w:p>
    <w:p>
      <w:pPr>
        <w:pStyle w:val="126"/>
        <w:rPr>
          <w:lang w:eastAsia="zh-CN"/>
        </w:rPr>
      </w:pPr>
      <w:r>
        <w:rPr>
          <w:rFonts w:hint="eastAsia"/>
          <w:lang w:eastAsia="zh-CN"/>
        </w:rPr>
        <w:t>3GPP RAN1#10</w:t>
      </w:r>
      <w:r>
        <w:rPr>
          <w:rFonts w:hint="eastAsia"/>
          <w:lang w:val="en-US" w:eastAsia="zh-CN"/>
        </w:rPr>
        <w:t>5</w:t>
      </w:r>
      <w:r>
        <w:rPr>
          <w:rFonts w:hint="eastAsia"/>
          <w:lang w:eastAsia="zh-CN"/>
        </w:rPr>
        <w:t xml:space="preserve">-e, </w:t>
      </w:r>
      <w:r>
        <w:rPr>
          <w:lang w:eastAsia="zh-CN"/>
        </w:rPr>
        <w:t xml:space="preserve">Chairman's Notes </w:t>
      </w:r>
      <w:r>
        <w:rPr>
          <w:rFonts w:hint="eastAsia"/>
          <w:lang w:eastAsia="zh-CN"/>
        </w:rPr>
        <w:t>f</w:t>
      </w:r>
      <w:r>
        <w:rPr>
          <w:lang w:eastAsia="zh-CN"/>
        </w:rPr>
        <w:t>inal.</w:t>
      </w:r>
    </w:p>
    <w:p>
      <w:pPr>
        <w:pStyle w:val="2"/>
        <w:rPr>
          <w:lang w:val="en-US" w:eastAsia="zh-CN"/>
        </w:rPr>
      </w:pPr>
      <w:r>
        <w:rPr>
          <w:lang w:val="en-US" w:eastAsia="zh-CN"/>
        </w:rPr>
        <w:t xml:space="preserve">Appendix </w:t>
      </w:r>
    </w:p>
    <w:p>
      <w:pPr>
        <w:bidi w:val="0"/>
        <w:rPr>
          <w:rFonts w:hint="default"/>
          <w:lang w:val="en-US" w:eastAsia="zh-CN"/>
        </w:rPr>
      </w:pPr>
      <w:r>
        <w:rPr>
          <w:lang w:val="en-US" w:eastAsia="zh-CN"/>
        </w:rPr>
        <w:t>System Level evaluation assumptions</w:t>
      </w:r>
      <w:r>
        <w:rPr>
          <w:rFonts w:hint="eastAsia"/>
          <w:lang w:val="en-US" w:eastAsia="zh-CN"/>
        </w:rPr>
        <w:t xml:space="preserve"> are shown in Table 2.</w:t>
      </w:r>
    </w:p>
    <w:p>
      <w:pPr>
        <w:jc w:val="center"/>
        <w:rPr>
          <w:lang w:eastAsia="zh-CN"/>
        </w:rPr>
      </w:pPr>
      <w:r>
        <w:rPr>
          <w:lang w:eastAsia="zh-CN"/>
        </w:rPr>
        <w:t xml:space="preserve">Table </w:t>
      </w:r>
      <w:r>
        <w:rPr>
          <w:rFonts w:hint="eastAsia"/>
          <w:lang w:val="en-US" w:eastAsia="zh-CN"/>
        </w:rPr>
        <w:t>2</w:t>
      </w:r>
      <w:r>
        <w:rPr>
          <w:lang w:eastAsia="zh-CN"/>
        </w:rPr>
        <w:t>: System Level evaluation assumptions for R15 AR/VR scenario</w:t>
      </w:r>
    </w:p>
    <w:tbl>
      <w:tblPr>
        <w:tblStyle w:val="5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rFonts w:hint="default" w:ascii="Times New Roman" w:hAnsi="Times New Roman" w:cs="Times New Roman"/>
                <w:b/>
                <w:bCs/>
                <w:sz w:val="20"/>
                <w:szCs w:val="20"/>
              </w:rPr>
            </w:pPr>
            <w:r>
              <w:rPr>
                <w:rFonts w:hint="default" w:ascii="Times New Roman" w:hAnsi="Times New Roman" w:cs="Times New Roman"/>
                <w:b/>
                <w:bCs/>
                <w:sz w:val="20"/>
                <w:szCs w:val="20"/>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rFonts w:hint="default" w:ascii="Times New Roman" w:hAnsi="Times New Roman" w:cs="Times New Roman"/>
                <w:b/>
                <w:bCs/>
                <w:sz w:val="20"/>
                <w:szCs w:val="20"/>
              </w:rPr>
            </w:pPr>
            <w:r>
              <w:rPr>
                <w:rFonts w:hint="default" w:ascii="Times New Roman" w:hAnsi="Times New Roman" w:cs="Times New Roman"/>
                <w:b/>
                <w:bCs/>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Simulation </w:t>
            </w:r>
            <w:r>
              <w:rPr>
                <w:rFonts w:hint="default" w:ascii="Times New Roman" w:hAnsi="Times New Roman" w:cs="Times New Roman"/>
                <w:sz w:val="20"/>
                <w:szCs w:val="20"/>
                <w:lang w:eastAsia="ja-JP"/>
              </w:rPr>
              <w:t xml:space="preserve">bandwidth </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SCS </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zh-CN"/>
              </w:rPr>
              <w:t>8</w:t>
            </w:r>
            <w:r>
              <w:rPr>
                <w:rFonts w:hint="default" w:ascii="Times New Roman" w:hAnsi="Times New Roman" w:cs="Times New Roman"/>
                <w:sz w:val="20"/>
                <w:szCs w:val="20"/>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Tx antenna ports</w:t>
            </w:r>
          </w:p>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rPr>
              <w:t>(M, N, P, Mg, Ng; Mp, Np) = (</w:t>
            </w:r>
            <w:r>
              <w:rPr>
                <w:rFonts w:hint="default" w:ascii="Times New Roman" w:hAnsi="Times New Roman" w:cs="Times New Roman"/>
                <w:sz w:val="20"/>
                <w:szCs w:val="20"/>
                <w:lang w:eastAsia="zh-CN"/>
              </w:rPr>
              <w:t>8, 4, 2, 1, 1; 1, 2</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UE</w:t>
            </w:r>
            <w:r>
              <w:rPr>
                <w:rFonts w:hint="default" w:ascii="Times New Roman" w:hAnsi="Times New Roman" w:cs="Times New Roman"/>
                <w:sz w:val="20"/>
                <w:szCs w:val="20"/>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4 Rx antenna ports </w:t>
            </w:r>
          </w:p>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Panel model 1: Mg=1, Ng=1, P=2, </w:t>
            </w:r>
            <w:r>
              <w:rPr>
                <w:rFonts w:hint="default" w:ascii="Times New Roman" w:hAnsi="Times New Roman" w:cs="Times New Roman"/>
                <w:color w:val="000000"/>
                <w:sz w:val="20"/>
                <w:szCs w:val="20"/>
              </w:rPr>
              <w:t>d</w:t>
            </w:r>
            <w:r>
              <w:rPr>
                <w:rFonts w:hint="default" w:ascii="Times New Roman" w:hAnsi="Times New Roman" w:cs="Times New Roman"/>
                <w:color w:val="000000"/>
                <w:sz w:val="20"/>
                <w:szCs w:val="20"/>
                <w:vertAlign w:val="subscript"/>
              </w:rPr>
              <w:t>H</w:t>
            </w:r>
            <w:r>
              <w:rPr>
                <w:rFonts w:hint="default" w:ascii="Times New Roman" w:hAnsi="Times New Roman" w:cs="Times New Roman"/>
                <w:sz w:val="20"/>
                <w:szCs w:val="20"/>
                <w:lang w:eastAsia="zh-CN"/>
              </w:rPr>
              <w:t>=0.5</w:t>
            </w:r>
          </w:p>
          <w:p>
            <w:pPr>
              <w:pStyle w:val="65"/>
              <w:rPr>
                <w:rFonts w:hint="default" w:ascii="Times New Roman" w:hAnsi="Times New Roman" w:cs="Times New Roman"/>
                <w:sz w:val="20"/>
                <w:szCs w:val="20"/>
              </w:rPr>
            </w:pPr>
            <w:r>
              <w:rPr>
                <w:rFonts w:hint="default" w:ascii="Times New Roman" w:hAnsi="Times New Roman" w:cs="Times New Roman"/>
                <w:sz w:val="20"/>
                <w:szCs w:val="20"/>
              </w:rPr>
              <w:t>(M, N, P, Mg, Ng; Mp, Np) = (</w:t>
            </w:r>
            <w:r>
              <w:rPr>
                <w:rFonts w:hint="default" w:ascii="Times New Roman" w:hAnsi="Times New Roman" w:cs="Times New Roman"/>
                <w:sz w:val="20"/>
                <w:szCs w:val="20"/>
                <w:lang w:eastAsia="zh-CN"/>
              </w:rPr>
              <w:t>1, 2, 2, 1, 1; 1, 2</w:t>
            </w:r>
            <w:r>
              <w:rPr>
                <w:rFonts w:hint="default" w:ascii="Times New Roman" w:hAnsi="Times New Roman" w:cs="Times New Roman"/>
                <w:sz w:val="20"/>
                <w:szCs w:val="20"/>
              </w:rPr>
              <w:t>) for 4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lang w:eastAsia="zh-CN"/>
              </w:rPr>
              <w:t>25</w:t>
            </w:r>
            <w:r>
              <w:rPr>
                <w:rFonts w:hint="default" w:ascii="Times New Roman" w:hAnsi="Times New Roman" w:cs="Times New Roman"/>
                <w:sz w:val="20"/>
                <w:szCs w:val="20"/>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rPr>
              <w:t>1.5</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0dBi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eastAsiaTheme="minorEastAsia"/>
                <w:sz w:val="20"/>
                <w:szCs w:val="20"/>
              </w:rPr>
              <w:t>BS</w:t>
            </w:r>
            <w:r>
              <w:rPr>
                <w:rFonts w:hint="default" w:ascii="Times New Roman" w:hAnsi="Times New Roman" w:cs="Times New Roman"/>
                <w:sz w:val="20"/>
                <w:szCs w:val="20"/>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spacing w:before="156" w:after="20" w:line="276" w:lineRule="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 xml:space="preserve">49 dBm </w:t>
            </w:r>
            <w:r>
              <w:rPr>
                <w:rFonts w:hint="default" w:ascii="Times New Roman" w:hAnsi="Times New Roman" w:cs="Times New Roman"/>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Number of UEs per cell</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Channel model</w:t>
            </w:r>
          </w:p>
        </w:tc>
        <w:tc>
          <w:tcPr>
            <w:tcW w:w="5208"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100% of users are outdoors </w:t>
            </w:r>
          </w:p>
          <w:p>
            <w:pPr>
              <w:spacing w:before="156"/>
              <w:rPr>
                <w:rFonts w:hint="default" w:ascii="Times New Roman" w:hAnsi="Times New Roman" w:cs="Times New Roman" w:eastAsiaTheme="minorEastAsia"/>
                <w:sz w:val="20"/>
                <w:szCs w:val="20"/>
              </w:rPr>
            </w:pPr>
            <w:r>
              <w:rPr>
                <w:rFonts w:hint="default" w:ascii="Times New Roman" w:hAnsi="Times New Roman" w:cs="Times New Roman"/>
                <w:sz w:val="20"/>
                <w:szCs w:val="20"/>
                <w:lang w:eastAsia="zh-CN"/>
              </w:rPr>
              <w:t xml:space="preserve">Use 3 km/h for modeling fading channel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rPr>
            </w:pPr>
            <w:r>
              <w:rPr>
                <w:rFonts w:hint="default" w:ascii="Times New Roman" w:hAnsi="Times New Roman" w:cs="Times New Roman"/>
                <w:sz w:val="20"/>
                <w:szCs w:val="20"/>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rPr>
            </w:pPr>
            <w:r>
              <w:rPr>
                <w:rFonts w:hint="default" w:ascii="Times New Roman" w:hAnsi="Times New Roman" w:cs="Times New Roman"/>
                <w:sz w:val="2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sz w:val="20"/>
                <w:szCs w:val="20"/>
                <w:lang w:eastAsia="ja-JP"/>
              </w:rPr>
            </w:pPr>
            <w:r>
              <w:rPr>
                <w:rFonts w:hint="default" w:ascii="Times New Roman" w:hAnsi="Times New Roman" w:cs="Times New Roman"/>
                <w:color w:val="000000"/>
                <w:sz w:val="20"/>
                <w:szCs w:val="20"/>
              </w:rPr>
              <w:t>Periodicity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Delay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Physical layer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 OS mini-slot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Traffic mode</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FTP model 3 (100p/s)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Reliability</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Latency</w:t>
            </w:r>
          </w:p>
        </w:tc>
        <w:tc>
          <w:tcPr>
            <w:tcW w:w="5208" w:type="dxa"/>
            <w:tcBorders>
              <w:top w:val="single" w:color="auto" w:sz="4" w:space="0"/>
              <w:left w:val="single" w:color="auto" w:sz="4" w:space="0"/>
              <w:bottom w:val="single" w:color="auto" w:sz="4" w:space="0"/>
              <w:right w:val="single" w:color="auto" w:sz="4" w:space="0"/>
            </w:tcBorders>
            <w:vAlign w:val="center"/>
          </w:tcPr>
          <w:p>
            <w:pPr>
              <w:spacing w:before="156"/>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4ms(200bytes)</w:t>
            </w:r>
          </w:p>
        </w:tc>
      </w:tr>
    </w:tbl>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D2B48C"/>
    <w:multiLevelType w:val="singleLevel"/>
    <w:tmpl w:val="CFD2B48C"/>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7FB4B9D"/>
    <w:multiLevelType w:val="multilevel"/>
    <w:tmpl w:val="67FB4B9D"/>
    <w:lvl w:ilvl="0" w:tentative="0">
      <w:start w:val="1"/>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10"/>
  </w:num>
  <w:num w:numId="6">
    <w:abstractNumId w:val="5"/>
  </w:num>
  <w:num w:numId="7">
    <w:abstractNumId w:val="3"/>
  </w:num>
  <w:num w:numId="8">
    <w:abstractNumId w:val="9"/>
  </w:num>
  <w:num w:numId="9">
    <w:abstractNumId w:val="8"/>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1"/>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22"/>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582"/>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C34"/>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22550"/>
    <w:rsid w:val="01141897"/>
    <w:rsid w:val="01260BA4"/>
    <w:rsid w:val="016B06CD"/>
    <w:rsid w:val="01A2575D"/>
    <w:rsid w:val="01F7104B"/>
    <w:rsid w:val="01FC2529"/>
    <w:rsid w:val="026835F1"/>
    <w:rsid w:val="0284643E"/>
    <w:rsid w:val="02CC2DF9"/>
    <w:rsid w:val="03271175"/>
    <w:rsid w:val="03532C3F"/>
    <w:rsid w:val="038C00DB"/>
    <w:rsid w:val="039046B7"/>
    <w:rsid w:val="03B25C4C"/>
    <w:rsid w:val="03B45F4B"/>
    <w:rsid w:val="03C31233"/>
    <w:rsid w:val="03E442A7"/>
    <w:rsid w:val="03F94E83"/>
    <w:rsid w:val="03FC4856"/>
    <w:rsid w:val="04A472ED"/>
    <w:rsid w:val="04E46C50"/>
    <w:rsid w:val="04E51BB8"/>
    <w:rsid w:val="04FC54BE"/>
    <w:rsid w:val="05772202"/>
    <w:rsid w:val="05FA45C5"/>
    <w:rsid w:val="066953FF"/>
    <w:rsid w:val="067D4C1C"/>
    <w:rsid w:val="06B127E5"/>
    <w:rsid w:val="06F146D9"/>
    <w:rsid w:val="07165FAB"/>
    <w:rsid w:val="072F2729"/>
    <w:rsid w:val="07406162"/>
    <w:rsid w:val="07901951"/>
    <w:rsid w:val="07A664D7"/>
    <w:rsid w:val="07C21FA9"/>
    <w:rsid w:val="07C60573"/>
    <w:rsid w:val="07F36B9B"/>
    <w:rsid w:val="08160A11"/>
    <w:rsid w:val="08F7541D"/>
    <w:rsid w:val="09531BE1"/>
    <w:rsid w:val="0957797D"/>
    <w:rsid w:val="0972706B"/>
    <w:rsid w:val="09AD3C35"/>
    <w:rsid w:val="09C21BB6"/>
    <w:rsid w:val="09EC1FC7"/>
    <w:rsid w:val="0A2A77A5"/>
    <w:rsid w:val="0A4C53AF"/>
    <w:rsid w:val="0A7969DF"/>
    <w:rsid w:val="0A867EAB"/>
    <w:rsid w:val="0ACB6154"/>
    <w:rsid w:val="0AFC60B7"/>
    <w:rsid w:val="0B184842"/>
    <w:rsid w:val="0B3572E6"/>
    <w:rsid w:val="0B6F0A8E"/>
    <w:rsid w:val="0BAD7041"/>
    <w:rsid w:val="0BFD1C57"/>
    <w:rsid w:val="0C0E1269"/>
    <w:rsid w:val="0C6F5654"/>
    <w:rsid w:val="0C984199"/>
    <w:rsid w:val="0D132BA9"/>
    <w:rsid w:val="0D2148AC"/>
    <w:rsid w:val="0D423CF3"/>
    <w:rsid w:val="0D5B0F38"/>
    <w:rsid w:val="0D660AC2"/>
    <w:rsid w:val="0D672BF6"/>
    <w:rsid w:val="0D704096"/>
    <w:rsid w:val="0E120AD5"/>
    <w:rsid w:val="0E9D6013"/>
    <w:rsid w:val="0EB06FFE"/>
    <w:rsid w:val="0EC57FE4"/>
    <w:rsid w:val="0F6B449B"/>
    <w:rsid w:val="0F9C00AF"/>
    <w:rsid w:val="0FEE0729"/>
    <w:rsid w:val="10150A41"/>
    <w:rsid w:val="1023077E"/>
    <w:rsid w:val="102F2D8D"/>
    <w:rsid w:val="102F7219"/>
    <w:rsid w:val="103C4085"/>
    <w:rsid w:val="11001DB4"/>
    <w:rsid w:val="112A13C6"/>
    <w:rsid w:val="11DC793A"/>
    <w:rsid w:val="12300753"/>
    <w:rsid w:val="1241192F"/>
    <w:rsid w:val="1257267A"/>
    <w:rsid w:val="12602B9D"/>
    <w:rsid w:val="12A472D8"/>
    <w:rsid w:val="12F015F0"/>
    <w:rsid w:val="12FE321B"/>
    <w:rsid w:val="130859B8"/>
    <w:rsid w:val="13D91C28"/>
    <w:rsid w:val="13FA1CF4"/>
    <w:rsid w:val="141F2191"/>
    <w:rsid w:val="142A7523"/>
    <w:rsid w:val="142B63ED"/>
    <w:rsid w:val="147D6326"/>
    <w:rsid w:val="14B74393"/>
    <w:rsid w:val="14DD01BC"/>
    <w:rsid w:val="15493DAC"/>
    <w:rsid w:val="156C5397"/>
    <w:rsid w:val="1575AEB2"/>
    <w:rsid w:val="15836BA2"/>
    <w:rsid w:val="15905C49"/>
    <w:rsid w:val="15D058CC"/>
    <w:rsid w:val="164F7F6D"/>
    <w:rsid w:val="165E068A"/>
    <w:rsid w:val="16C872D4"/>
    <w:rsid w:val="16FB6882"/>
    <w:rsid w:val="1702D3F2"/>
    <w:rsid w:val="17A36C4C"/>
    <w:rsid w:val="17A625DA"/>
    <w:rsid w:val="17AC46DD"/>
    <w:rsid w:val="182C6E13"/>
    <w:rsid w:val="188D2058"/>
    <w:rsid w:val="18BA7603"/>
    <w:rsid w:val="18FD3F86"/>
    <w:rsid w:val="192B740B"/>
    <w:rsid w:val="19497C62"/>
    <w:rsid w:val="196020D2"/>
    <w:rsid w:val="198A694D"/>
    <w:rsid w:val="19E936C1"/>
    <w:rsid w:val="19F73CC7"/>
    <w:rsid w:val="19FA7F54"/>
    <w:rsid w:val="1A347816"/>
    <w:rsid w:val="1A514204"/>
    <w:rsid w:val="1A884F76"/>
    <w:rsid w:val="1AA83F31"/>
    <w:rsid w:val="1AFB1F5A"/>
    <w:rsid w:val="1B2E6DC7"/>
    <w:rsid w:val="1B30699D"/>
    <w:rsid w:val="1B5316CE"/>
    <w:rsid w:val="1B5E59D2"/>
    <w:rsid w:val="1B823A4F"/>
    <w:rsid w:val="1B9328C0"/>
    <w:rsid w:val="1C4E758E"/>
    <w:rsid w:val="1C766428"/>
    <w:rsid w:val="1C874259"/>
    <w:rsid w:val="1D38234F"/>
    <w:rsid w:val="1D4B6511"/>
    <w:rsid w:val="1D7806A7"/>
    <w:rsid w:val="1DAB29A2"/>
    <w:rsid w:val="1DD50930"/>
    <w:rsid w:val="1DDD56BB"/>
    <w:rsid w:val="1DE66DDE"/>
    <w:rsid w:val="1DEE1CB6"/>
    <w:rsid w:val="1DF407BB"/>
    <w:rsid w:val="1E236CEF"/>
    <w:rsid w:val="1E38003B"/>
    <w:rsid w:val="1F850095"/>
    <w:rsid w:val="1FB91CD0"/>
    <w:rsid w:val="1FBD523C"/>
    <w:rsid w:val="1FD85109"/>
    <w:rsid w:val="1FDA5618"/>
    <w:rsid w:val="20750BDD"/>
    <w:rsid w:val="20910CB1"/>
    <w:rsid w:val="20CD42FE"/>
    <w:rsid w:val="20DD44A9"/>
    <w:rsid w:val="20EA6C81"/>
    <w:rsid w:val="21035A99"/>
    <w:rsid w:val="210811E1"/>
    <w:rsid w:val="210D039E"/>
    <w:rsid w:val="21282288"/>
    <w:rsid w:val="21364FE9"/>
    <w:rsid w:val="214B4914"/>
    <w:rsid w:val="21692244"/>
    <w:rsid w:val="218A241C"/>
    <w:rsid w:val="21941A5C"/>
    <w:rsid w:val="21942DDB"/>
    <w:rsid w:val="21FA58F2"/>
    <w:rsid w:val="22C62A0D"/>
    <w:rsid w:val="23247878"/>
    <w:rsid w:val="23680C07"/>
    <w:rsid w:val="239E142D"/>
    <w:rsid w:val="23C73339"/>
    <w:rsid w:val="23EA21A8"/>
    <w:rsid w:val="245870DE"/>
    <w:rsid w:val="247247A7"/>
    <w:rsid w:val="2473146A"/>
    <w:rsid w:val="24927781"/>
    <w:rsid w:val="24956530"/>
    <w:rsid w:val="24A768B2"/>
    <w:rsid w:val="251E244B"/>
    <w:rsid w:val="258728BF"/>
    <w:rsid w:val="26162B12"/>
    <w:rsid w:val="268C60B5"/>
    <w:rsid w:val="26B04FB4"/>
    <w:rsid w:val="27470D0A"/>
    <w:rsid w:val="275B67F9"/>
    <w:rsid w:val="278A3E5D"/>
    <w:rsid w:val="2793390D"/>
    <w:rsid w:val="27C5366D"/>
    <w:rsid w:val="27DD67CA"/>
    <w:rsid w:val="28384A79"/>
    <w:rsid w:val="2839733E"/>
    <w:rsid w:val="28690808"/>
    <w:rsid w:val="28B07E55"/>
    <w:rsid w:val="28B54AA2"/>
    <w:rsid w:val="29441D0D"/>
    <w:rsid w:val="294D6347"/>
    <w:rsid w:val="29C2594E"/>
    <w:rsid w:val="2A0F0B23"/>
    <w:rsid w:val="2A243957"/>
    <w:rsid w:val="2AC65A40"/>
    <w:rsid w:val="2AD7786F"/>
    <w:rsid w:val="2AFE2B7E"/>
    <w:rsid w:val="2B5D7AD6"/>
    <w:rsid w:val="2B8E5174"/>
    <w:rsid w:val="2BAA52D9"/>
    <w:rsid w:val="2BCA46C9"/>
    <w:rsid w:val="2C731E01"/>
    <w:rsid w:val="2C880E99"/>
    <w:rsid w:val="2CD324C5"/>
    <w:rsid w:val="2CD57B0B"/>
    <w:rsid w:val="2CE470AD"/>
    <w:rsid w:val="2CF0147F"/>
    <w:rsid w:val="2D376513"/>
    <w:rsid w:val="2D3B55CA"/>
    <w:rsid w:val="2DB61501"/>
    <w:rsid w:val="2DC863F1"/>
    <w:rsid w:val="2E2E5FB6"/>
    <w:rsid w:val="2E4D45F8"/>
    <w:rsid w:val="2E60617C"/>
    <w:rsid w:val="2EB72406"/>
    <w:rsid w:val="2EE35AD4"/>
    <w:rsid w:val="2F2367DE"/>
    <w:rsid w:val="2F4443E0"/>
    <w:rsid w:val="2F797B38"/>
    <w:rsid w:val="2F994058"/>
    <w:rsid w:val="30147C32"/>
    <w:rsid w:val="303E5119"/>
    <w:rsid w:val="307F54AC"/>
    <w:rsid w:val="31542D3B"/>
    <w:rsid w:val="318B5075"/>
    <w:rsid w:val="3245071E"/>
    <w:rsid w:val="32832752"/>
    <w:rsid w:val="3290276B"/>
    <w:rsid w:val="32A1719C"/>
    <w:rsid w:val="32FE23BF"/>
    <w:rsid w:val="33006AEC"/>
    <w:rsid w:val="330E6893"/>
    <w:rsid w:val="331628B8"/>
    <w:rsid w:val="3381468D"/>
    <w:rsid w:val="338C3854"/>
    <w:rsid w:val="33DE0CB9"/>
    <w:rsid w:val="344F6A36"/>
    <w:rsid w:val="34E875BF"/>
    <w:rsid w:val="34EF58F9"/>
    <w:rsid w:val="350F1170"/>
    <w:rsid w:val="3511129D"/>
    <w:rsid w:val="354B66B7"/>
    <w:rsid w:val="357D45BC"/>
    <w:rsid w:val="359455FE"/>
    <w:rsid w:val="36484FC1"/>
    <w:rsid w:val="366679F6"/>
    <w:rsid w:val="36B879C4"/>
    <w:rsid w:val="36CD07B0"/>
    <w:rsid w:val="373C5C66"/>
    <w:rsid w:val="375C57D7"/>
    <w:rsid w:val="37D43FF2"/>
    <w:rsid w:val="37DD651E"/>
    <w:rsid w:val="37F94ACE"/>
    <w:rsid w:val="384842A8"/>
    <w:rsid w:val="385A2B52"/>
    <w:rsid w:val="385A4D4A"/>
    <w:rsid w:val="387F7645"/>
    <w:rsid w:val="38A94A77"/>
    <w:rsid w:val="38BA113F"/>
    <w:rsid w:val="38E27DEC"/>
    <w:rsid w:val="39764953"/>
    <w:rsid w:val="39937B6F"/>
    <w:rsid w:val="3A0677A1"/>
    <w:rsid w:val="3A135075"/>
    <w:rsid w:val="3A3968C0"/>
    <w:rsid w:val="3A4172A9"/>
    <w:rsid w:val="3A4C1C4E"/>
    <w:rsid w:val="3A563658"/>
    <w:rsid w:val="3A632979"/>
    <w:rsid w:val="3A8424B5"/>
    <w:rsid w:val="3AB31D0C"/>
    <w:rsid w:val="3AD97E3A"/>
    <w:rsid w:val="3B141B02"/>
    <w:rsid w:val="3B3961CE"/>
    <w:rsid w:val="3B4A3B53"/>
    <w:rsid w:val="3B5651BA"/>
    <w:rsid w:val="3B8B323D"/>
    <w:rsid w:val="3B94063F"/>
    <w:rsid w:val="3BDE4D0D"/>
    <w:rsid w:val="3BF47021"/>
    <w:rsid w:val="3C1C5A4E"/>
    <w:rsid w:val="3C795A31"/>
    <w:rsid w:val="3C923082"/>
    <w:rsid w:val="3CC00512"/>
    <w:rsid w:val="3D0354C7"/>
    <w:rsid w:val="3D2D2A0D"/>
    <w:rsid w:val="3D503759"/>
    <w:rsid w:val="3D56438C"/>
    <w:rsid w:val="3D7642C9"/>
    <w:rsid w:val="3D7F5A28"/>
    <w:rsid w:val="3DAA038F"/>
    <w:rsid w:val="3DDA6D42"/>
    <w:rsid w:val="3DE26C3E"/>
    <w:rsid w:val="3DE85362"/>
    <w:rsid w:val="3E01783E"/>
    <w:rsid w:val="3E3769E2"/>
    <w:rsid w:val="3E7347F4"/>
    <w:rsid w:val="3E8552C0"/>
    <w:rsid w:val="3E85534F"/>
    <w:rsid w:val="3E922DCB"/>
    <w:rsid w:val="3EF83C43"/>
    <w:rsid w:val="3F01664D"/>
    <w:rsid w:val="3F175FC8"/>
    <w:rsid w:val="3F1A4DA4"/>
    <w:rsid w:val="3F4A203A"/>
    <w:rsid w:val="3F622DC7"/>
    <w:rsid w:val="3F747BDB"/>
    <w:rsid w:val="3F926FEA"/>
    <w:rsid w:val="3FD010A5"/>
    <w:rsid w:val="3FDC7494"/>
    <w:rsid w:val="401A7BA3"/>
    <w:rsid w:val="401C2F16"/>
    <w:rsid w:val="404E0931"/>
    <w:rsid w:val="4064326C"/>
    <w:rsid w:val="40850DCD"/>
    <w:rsid w:val="40E1496E"/>
    <w:rsid w:val="40E33181"/>
    <w:rsid w:val="4120295D"/>
    <w:rsid w:val="413224B2"/>
    <w:rsid w:val="41580881"/>
    <w:rsid w:val="41AC1D9C"/>
    <w:rsid w:val="41E444E5"/>
    <w:rsid w:val="4207424C"/>
    <w:rsid w:val="42352848"/>
    <w:rsid w:val="4242619A"/>
    <w:rsid w:val="42B20782"/>
    <w:rsid w:val="43444545"/>
    <w:rsid w:val="4345438E"/>
    <w:rsid w:val="434D41C7"/>
    <w:rsid w:val="438741B0"/>
    <w:rsid w:val="44917C93"/>
    <w:rsid w:val="44B612FA"/>
    <w:rsid w:val="44F04ED5"/>
    <w:rsid w:val="4565134A"/>
    <w:rsid w:val="457D0861"/>
    <w:rsid w:val="459F6357"/>
    <w:rsid w:val="45C4042C"/>
    <w:rsid w:val="460E7F90"/>
    <w:rsid w:val="464B13A3"/>
    <w:rsid w:val="464D0D0B"/>
    <w:rsid w:val="468E37DA"/>
    <w:rsid w:val="46D41E44"/>
    <w:rsid w:val="46E6761D"/>
    <w:rsid w:val="46F114A1"/>
    <w:rsid w:val="46F74C99"/>
    <w:rsid w:val="47565D99"/>
    <w:rsid w:val="47822D68"/>
    <w:rsid w:val="47AE2F53"/>
    <w:rsid w:val="47D53EDA"/>
    <w:rsid w:val="47F8725D"/>
    <w:rsid w:val="47FA0721"/>
    <w:rsid w:val="4818688C"/>
    <w:rsid w:val="483B1BF1"/>
    <w:rsid w:val="484669C0"/>
    <w:rsid w:val="487C2B41"/>
    <w:rsid w:val="48CB52AE"/>
    <w:rsid w:val="48EF4086"/>
    <w:rsid w:val="49446ABC"/>
    <w:rsid w:val="496938E0"/>
    <w:rsid w:val="4986043B"/>
    <w:rsid w:val="49882B35"/>
    <w:rsid w:val="49B87A71"/>
    <w:rsid w:val="49EF34BD"/>
    <w:rsid w:val="4A8F1807"/>
    <w:rsid w:val="4A9F0B38"/>
    <w:rsid w:val="4AB22D3D"/>
    <w:rsid w:val="4B3872E6"/>
    <w:rsid w:val="4B425BC8"/>
    <w:rsid w:val="4BA329C5"/>
    <w:rsid w:val="4BD33F29"/>
    <w:rsid w:val="4C37244C"/>
    <w:rsid w:val="4C611769"/>
    <w:rsid w:val="4C822291"/>
    <w:rsid w:val="4C83465B"/>
    <w:rsid w:val="4CA149AE"/>
    <w:rsid w:val="4D280365"/>
    <w:rsid w:val="4D291687"/>
    <w:rsid w:val="4D7A6095"/>
    <w:rsid w:val="4DA05C98"/>
    <w:rsid w:val="4DA82281"/>
    <w:rsid w:val="4DB4209F"/>
    <w:rsid w:val="4DBF6FE1"/>
    <w:rsid w:val="4DCA18F8"/>
    <w:rsid w:val="4DD0057E"/>
    <w:rsid w:val="4DD71CEE"/>
    <w:rsid w:val="4DF51404"/>
    <w:rsid w:val="4E5633F4"/>
    <w:rsid w:val="4E7740D9"/>
    <w:rsid w:val="4EAC0AFF"/>
    <w:rsid w:val="4EC2021D"/>
    <w:rsid w:val="4EC57BBB"/>
    <w:rsid w:val="4ECF3669"/>
    <w:rsid w:val="4FDB228E"/>
    <w:rsid w:val="50196694"/>
    <w:rsid w:val="50946E51"/>
    <w:rsid w:val="50CD6950"/>
    <w:rsid w:val="50FD13B2"/>
    <w:rsid w:val="511F2E19"/>
    <w:rsid w:val="5125709E"/>
    <w:rsid w:val="513E16AC"/>
    <w:rsid w:val="51AC7A40"/>
    <w:rsid w:val="51C367AC"/>
    <w:rsid w:val="51DA1198"/>
    <w:rsid w:val="52546F3F"/>
    <w:rsid w:val="52795A4C"/>
    <w:rsid w:val="52932641"/>
    <w:rsid w:val="529E76A6"/>
    <w:rsid w:val="52A237A9"/>
    <w:rsid w:val="52B4720D"/>
    <w:rsid w:val="52BB6452"/>
    <w:rsid w:val="52FE30BB"/>
    <w:rsid w:val="52FE6B60"/>
    <w:rsid w:val="5313765A"/>
    <w:rsid w:val="534D67C2"/>
    <w:rsid w:val="535564DE"/>
    <w:rsid w:val="536E79E7"/>
    <w:rsid w:val="53B442DB"/>
    <w:rsid w:val="53C25107"/>
    <w:rsid w:val="53CA6193"/>
    <w:rsid w:val="54197AD0"/>
    <w:rsid w:val="543314F7"/>
    <w:rsid w:val="545200D3"/>
    <w:rsid w:val="54CE2507"/>
    <w:rsid w:val="54EF7907"/>
    <w:rsid w:val="54F930BC"/>
    <w:rsid w:val="55181CD2"/>
    <w:rsid w:val="55841CFB"/>
    <w:rsid w:val="55CA1D79"/>
    <w:rsid w:val="55D01D97"/>
    <w:rsid w:val="56350960"/>
    <w:rsid w:val="565F64CB"/>
    <w:rsid w:val="56D00DA3"/>
    <w:rsid w:val="56DC5354"/>
    <w:rsid w:val="57032C03"/>
    <w:rsid w:val="57244B18"/>
    <w:rsid w:val="572B62DF"/>
    <w:rsid w:val="57936314"/>
    <w:rsid w:val="57C3516C"/>
    <w:rsid w:val="57E675AF"/>
    <w:rsid w:val="57EF6871"/>
    <w:rsid w:val="57F4177E"/>
    <w:rsid w:val="58240039"/>
    <w:rsid w:val="58400129"/>
    <w:rsid w:val="58F433FF"/>
    <w:rsid w:val="591813AF"/>
    <w:rsid w:val="595A121E"/>
    <w:rsid w:val="59C65DC2"/>
    <w:rsid w:val="59C75644"/>
    <w:rsid w:val="5A2E1EC4"/>
    <w:rsid w:val="5A373E55"/>
    <w:rsid w:val="5A814BDD"/>
    <w:rsid w:val="5AA758C9"/>
    <w:rsid w:val="5AF07FF7"/>
    <w:rsid w:val="5AF422E5"/>
    <w:rsid w:val="5B3B7F82"/>
    <w:rsid w:val="5B6858CF"/>
    <w:rsid w:val="5BA105AC"/>
    <w:rsid w:val="5BC940E0"/>
    <w:rsid w:val="5BF26431"/>
    <w:rsid w:val="5BF4211B"/>
    <w:rsid w:val="5BFA172C"/>
    <w:rsid w:val="5C494988"/>
    <w:rsid w:val="5C880332"/>
    <w:rsid w:val="5C8B2752"/>
    <w:rsid w:val="5CD36306"/>
    <w:rsid w:val="5CE549FC"/>
    <w:rsid w:val="5D023328"/>
    <w:rsid w:val="5DF35BE7"/>
    <w:rsid w:val="5E510DEF"/>
    <w:rsid w:val="5E780DEA"/>
    <w:rsid w:val="5E955D8F"/>
    <w:rsid w:val="5E9D367C"/>
    <w:rsid w:val="5EDE4AA5"/>
    <w:rsid w:val="5F13506F"/>
    <w:rsid w:val="5F631FA8"/>
    <w:rsid w:val="5F721888"/>
    <w:rsid w:val="5F750B1F"/>
    <w:rsid w:val="5F8A32D2"/>
    <w:rsid w:val="60440F72"/>
    <w:rsid w:val="60867BFB"/>
    <w:rsid w:val="60D50200"/>
    <w:rsid w:val="6133512D"/>
    <w:rsid w:val="61AD3F41"/>
    <w:rsid w:val="61E93730"/>
    <w:rsid w:val="627E2886"/>
    <w:rsid w:val="62DA2AA9"/>
    <w:rsid w:val="632D3B23"/>
    <w:rsid w:val="632D743C"/>
    <w:rsid w:val="6386412B"/>
    <w:rsid w:val="63A44F76"/>
    <w:rsid w:val="64165B94"/>
    <w:rsid w:val="6456298D"/>
    <w:rsid w:val="64A0622C"/>
    <w:rsid w:val="64FE5F12"/>
    <w:rsid w:val="654B48AE"/>
    <w:rsid w:val="65507243"/>
    <w:rsid w:val="65576B9C"/>
    <w:rsid w:val="656027FF"/>
    <w:rsid w:val="65B11FF7"/>
    <w:rsid w:val="65D96F2E"/>
    <w:rsid w:val="65F415BF"/>
    <w:rsid w:val="66451091"/>
    <w:rsid w:val="66457E51"/>
    <w:rsid w:val="664A0A82"/>
    <w:rsid w:val="6650714A"/>
    <w:rsid w:val="6680376E"/>
    <w:rsid w:val="668579EF"/>
    <w:rsid w:val="66ED31EA"/>
    <w:rsid w:val="670077E7"/>
    <w:rsid w:val="6754041A"/>
    <w:rsid w:val="67966956"/>
    <w:rsid w:val="67BF1301"/>
    <w:rsid w:val="67FA3E47"/>
    <w:rsid w:val="68085293"/>
    <w:rsid w:val="6851376E"/>
    <w:rsid w:val="68662EDC"/>
    <w:rsid w:val="686C31D7"/>
    <w:rsid w:val="68F07009"/>
    <w:rsid w:val="691A3243"/>
    <w:rsid w:val="69631CC1"/>
    <w:rsid w:val="696C42BB"/>
    <w:rsid w:val="698A6B0F"/>
    <w:rsid w:val="69995DE8"/>
    <w:rsid w:val="69D232C1"/>
    <w:rsid w:val="69DA7268"/>
    <w:rsid w:val="69FD1E75"/>
    <w:rsid w:val="6A27755C"/>
    <w:rsid w:val="6A782EAA"/>
    <w:rsid w:val="6ABA7E95"/>
    <w:rsid w:val="6ABD37E0"/>
    <w:rsid w:val="6B2C1912"/>
    <w:rsid w:val="6B58578D"/>
    <w:rsid w:val="6B704279"/>
    <w:rsid w:val="6BB753C9"/>
    <w:rsid w:val="6C4E23A0"/>
    <w:rsid w:val="6C5634A0"/>
    <w:rsid w:val="6C911A64"/>
    <w:rsid w:val="6D020EA1"/>
    <w:rsid w:val="6D78666A"/>
    <w:rsid w:val="6DD86485"/>
    <w:rsid w:val="6E0F1211"/>
    <w:rsid w:val="6EF677CA"/>
    <w:rsid w:val="6F560EDF"/>
    <w:rsid w:val="6F60096A"/>
    <w:rsid w:val="6F6027E9"/>
    <w:rsid w:val="6F64491D"/>
    <w:rsid w:val="6F6E1156"/>
    <w:rsid w:val="6FA50833"/>
    <w:rsid w:val="6FBD0858"/>
    <w:rsid w:val="6FD251FF"/>
    <w:rsid w:val="70180E63"/>
    <w:rsid w:val="7150596E"/>
    <w:rsid w:val="71954A46"/>
    <w:rsid w:val="71957047"/>
    <w:rsid w:val="71B7115A"/>
    <w:rsid w:val="71C7583B"/>
    <w:rsid w:val="71DD1A8D"/>
    <w:rsid w:val="71F715BA"/>
    <w:rsid w:val="72925464"/>
    <w:rsid w:val="729E3D77"/>
    <w:rsid w:val="72E1752D"/>
    <w:rsid w:val="72F06546"/>
    <w:rsid w:val="73070EC2"/>
    <w:rsid w:val="739429BE"/>
    <w:rsid w:val="73A015C2"/>
    <w:rsid w:val="73A913CF"/>
    <w:rsid w:val="73C4277F"/>
    <w:rsid w:val="73EB1497"/>
    <w:rsid w:val="74000A47"/>
    <w:rsid w:val="74181B33"/>
    <w:rsid w:val="741B2927"/>
    <w:rsid w:val="74885606"/>
    <w:rsid w:val="7489025C"/>
    <w:rsid w:val="74951935"/>
    <w:rsid w:val="74B93719"/>
    <w:rsid w:val="74DE1C4C"/>
    <w:rsid w:val="751115BE"/>
    <w:rsid w:val="752D1850"/>
    <w:rsid w:val="75740E00"/>
    <w:rsid w:val="759D5584"/>
    <w:rsid w:val="76185042"/>
    <w:rsid w:val="763A080C"/>
    <w:rsid w:val="76D46738"/>
    <w:rsid w:val="76EB5B39"/>
    <w:rsid w:val="774A235B"/>
    <w:rsid w:val="776F4F23"/>
    <w:rsid w:val="77861FBF"/>
    <w:rsid w:val="77B7463B"/>
    <w:rsid w:val="78156E78"/>
    <w:rsid w:val="782D5EAF"/>
    <w:rsid w:val="786302A1"/>
    <w:rsid w:val="789F1175"/>
    <w:rsid w:val="78D11047"/>
    <w:rsid w:val="792E4191"/>
    <w:rsid w:val="7931734A"/>
    <w:rsid w:val="795610EE"/>
    <w:rsid w:val="795708C5"/>
    <w:rsid w:val="797D3551"/>
    <w:rsid w:val="798814B7"/>
    <w:rsid w:val="79AF12CA"/>
    <w:rsid w:val="7A3D1E89"/>
    <w:rsid w:val="7A425EA0"/>
    <w:rsid w:val="7A601B54"/>
    <w:rsid w:val="7A6A7EDA"/>
    <w:rsid w:val="7AC26118"/>
    <w:rsid w:val="7ACD78DB"/>
    <w:rsid w:val="7ADB38D4"/>
    <w:rsid w:val="7BD0716D"/>
    <w:rsid w:val="7BF178BE"/>
    <w:rsid w:val="7C162975"/>
    <w:rsid w:val="7C327B12"/>
    <w:rsid w:val="7C3B7B9C"/>
    <w:rsid w:val="7C7C706C"/>
    <w:rsid w:val="7CA72D12"/>
    <w:rsid w:val="7CFC59C6"/>
    <w:rsid w:val="7D3C13AA"/>
    <w:rsid w:val="7D494141"/>
    <w:rsid w:val="7D9F378C"/>
    <w:rsid w:val="7DD2691C"/>
    <w:rsid w:val="7E1F3B4A"/>
    <w:rsid w:val="7E237976"/>
    <w:rsid w:val="7E3563A1"/>
    <w:rsid w:val="7E9326F9"/>
    <w:rsid w:val="7EE20452"/>
    <w:rsid w:val="7F0C7F31"/>
    <w:rsid w:val="7F395D9C"/>
    <w:rsid w:val="7F542C21"/>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75551-145B-4E64-AA0F-F35EAB238470}">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9</Pages>
  <Words>3437</Words>
  <Characters>19591</Characters>
  <Lines>163</Lines>
  <Paragraphs>45</Paragraphs>
  <TotalTime>0</TotalTime>
  <ScaleCrop>false</ScaleCrop>
  <LinksUpToDate>false</LinksUpToDate>
  <CharactersWithSpaces>22983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2021-08-06T10:10:27Z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